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TÍNH TOÁN TỰ ĐỘNG TRÊN BẢNG TÍNH</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9</w:t>
      </w:r>
    </w:p>
    <w:p>
      <w:pPr>
        <w:spacing w:line="276" w:lineRule="auto" w:after="60" w:before="0"/>
        <w:ind w:firstLine="0"/>
        <w:jc w:val="center"/>
      </w:pPr>
      <w:r>
        <w:rPr>
          <w:rFonts w:ascii="Times New Roman" w:hAnsi="Times New Roman" w:eastAsia="Times New Roman"/>
          <w:b/>
          <w:i w:val="0"/>
          <w:sz w:val="26"/>
        </w:rPr>
        <w:t>Tên tiết: Bài 7. Tính toán tự động trên bảng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kiểu dữ liệu; biết nhập và sao chép công thức trên bảng tính.  - Giải thích việc đưa công thức vào bảng tính là cách điều khiển tính toán tự động..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7. Tính toán tự động trên bảng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7. Tính toán tự động trên bảng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Tính toán tự động trên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7. Tính toán tự động trên bảng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7. Tính toán tự động trên bảng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7. Tính toán tự động trên bảng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7. Tính toán tự động trên bảng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