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10/08/2026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12/08/2026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THÔNG TIN TRONG GIẢI QUYẾT VẤN ĐỀ</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2</w:t>
      </w:r>
    </w:p>
    <w:p>
      <w:pPr>
        <w:spacing w:line="276" w:lineRule="auto" w:after="60" w:before="0"/>
        <w:ind w:firstLine="0"/>
        <w:jc w:val="center"/>
      </w:pPr>
      <w:r>
        <w:rPr>
          <w:rFonts w:ascii="Times New Roman" w:hAnsi="Times New Roman" w:eastAsia="Times New Roman"/>
          <w:b/>
          <w:i w:val="0"/>
          <w:sz w:val="26"/>
        </w:rPr>
        <w:t>Tên tiết: Bài 2. Thông tin trong giải quyết vấn đề</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Giải thích được tầm quan trọng của thông tin trong việc đưa ra quyết định giải quyết vấn đề thực tế..</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2. Thông tin trong giải quyết vấn đề.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2. Thông tin trong giải quyết vấn đề.</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Thông tin trong giải quyết vấn đề.</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2. Thông tin trong giải quyết vấn đề.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Thông tin trong giải quyết vấn đề.</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2. Thông tin trong giải quyết vấn đề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2. Thông tin trong giải quyết vấn đề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2. Thông tin trong giải quyết vấn đề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2. Thông tin trong giải quyết vấn đề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