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14/12/2026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16/12/2026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14. TIN HỌC VÀ ĐỊNH HƯỚNG NGHỀ NGHIỆP</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20</w:t>
      </w:r>
    </w:p>
    <w:p>
      <w:pPr>
        <w:spacing w:line="276" w:lineRule="auto" w:after="60" w:before="0"/>
        <w:ind w:firstLine="0"/>
        <w:jc w:val="center"/>
      </w:pPr>
      <w:r>
        <w:rPr>
          <w:rFonts w:ascii="Times New Roman" w:hAnsi="Times New Roman" w:eastAsia="Times New Roman"/>
          <w:b/>
          <w:i w:val="0"/>
          <w:sz w:val="26"/>
        </w:rPr>
        <w:t>Tên tiết: Bài 14. Tin học và định hướng nghề nghiệp</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Tìm hiểu các ngành nghề trong lĩnh vực CNTT và ứng dụng tin học trong xã hội hiện đại..</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14. Tin học và định hướng nghề nghiệp.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14. Tin học và định hướng nghề nghiệp.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14. Tin học và định hướng nghề nghiệp.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14. Tin học và định hướng nghề nghiệp.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14. Tin học và định hướng nghề nghiệp.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14. Tin học và định hướng nghề nghiệp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14. Tin học và định hướng nghề nghiệp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14. Tin học và định hướng nghề nghiệp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14. Tin học và định hướng nghề nghiệp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