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27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18 (từ ngày 30/11/2026 đến ngày 04/12/2026)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