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18 (từ ngày 30/11/2026 đến ngày 04/12/2026)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