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31 (từ ngày 01/03/2027 đến ngày 05/03/2027)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26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Buổi…sáng……..Tuần…31…(Từ ngày…01/03/2027 …đến ngày:… 05/03/2027….)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26 tháng 2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Buổi…chiều…..Tuần…31…(Từ ngày…01/03/2027…đến ngày:… 05/03/2027….)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0922AECA" w14:textId="77777777" w:rsidR="00A519F5" w:rsidRDefault="00A519F5" w:rsidP="00A519F5">
      <w:pPr>
        <w:spacing w:after="0"/>
        <w:rPr>
          <w:i/>
        </w:rPr>
      </w:pPr>
      <w:r>
        <w:t>TUẦN 31 (từ ngày 01/03/2027 đến ngày 05/03/2027)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26 tháng 02 năm 2027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Buổi…sáng……..Tuần…31…(Từ ngày…01/03/2027 …đến ngày:… 05/03/2027….)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(01/03)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(02/03)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(03/03)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(04/03)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(05/03)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Thông tin và dữ liệu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Xử lí thông tin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Buổi…chiều…..Tuần…31…(Từ ngày…01/03/2027…đến ngày:… 05/03/2027….)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Thiết bị vào - ra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Phần mềm máy tính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Lược sử công cụ tính toán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Thông tin trong môi trường số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