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35 (từ ngày 29/03/2027 đến ngày 02/04/2027)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