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9. HỒ BƠI MÙA HÈ</w:t>
        <w:br/>
      </w:r>
      <w:r>
        <w:rPr>
          <w:rFonts w:ascii="Times New Roman" w:hAnsi="Times New Roman"/>
          <w:b w:val="0"/>
          <w:i/>
          <w:sz w:val="24"/>
        </w:rPr>
        <w:t>(Thời lượng: 1 tiết | Tiết PPCT: 12)</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an toàn bơi lội; lắp mô hình người bơi lội.</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9. Hồ bơi mùa hè,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9. Hồ bơi mùa hè,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9. Hồ bơi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9. Hồ bơi mùa hè.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9. Hồ bơi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9. Hồ bơi mùa hè.</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9. Hồ bơi mùa hè</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9. Hồ bơi mùa hè.</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9. Hồ bơi mùa hè.</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