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29/08/2026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02/09/2026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4. CHÚ ỐC SÊN CHẬM CHẠP (Tiết: 4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cách di chuyển và cấu tạo vỏ ốc sên.</w:t>
      </w:r>
    </w:p>
    <w:p>
      <w:pPr>
        <w:spacing w:line="288" w:lineRule="auto" w:after="60" w:before="0"/>
        <w:ind w:firstLine="0" w:left="850"/>
        <w:jc w:val="both"/>
      </w:pPr>
      <w:r>
        <w:rPr>
          <w:rFonts w:ascii="Times New Roman" w:hAnsi="Times New Roman" w:cs="Times New Roman" w:eastAsia="Times New Roman"/>
          <w:b w:val="0"/>
          <w:i w:val="0"/>
          <w:sz w:val="26"/>
        </w:rPr>
        <w:t>+ Lắp robot ốc sên.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4. Chú ốc sên chậm chạp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4. Chú ốc sên chậm chạp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4. Chú ốc sên chậm chạp.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4. Chú ốc sên chậm chạp,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4. Chú ốc sên chậm chạp.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4. Chú ốc sên chậm chạp.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4. Chú ốc sên chậm chạp.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4. Chú ốc sên chậm chạp.</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4. Chú ốc sên chậm chạp.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4. Chú ốc sên chậm chạp.</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4. Chú ốc sên chậm chạp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4. Chú ốc sên chậm chạp.</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