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28/11/2026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02/12/2026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15. PHÍA TRÊN BẦU TRỜI (Tiết: 17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Phân biệt các loại máy bay.</w:t>
      </w:r>
    </w:p>
    <w:p>
      <w:pPr>
        <w:spacing w:line="288" w:lineRule="auto" w:after="60" w:before="0"/>
        <w:ind w:firstLine="0" w:left="850"/>
        <w:jc w:val="both"/>
      </w:pPr>
      <w:r>
        <w:rPr>
          <w:rFonts w:ascii="Times New Roman" w:hAnsi="Times New Roman" w:cs="Times New Roman" w:eastAsia="Times New Roman"/>
          <w:b w:val="0"/>
          <w:i w:val="0"/>
          <w:sz w:val="26"/>
        </w:rPr>
        <w:t>+ Lắp mô hình máy bay.</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15. Phía trên bầu trời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15. Phía trên bầu trời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15. Phía trên bầu trời.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15. Phía trên bầu trời,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15. Phía trên bầu trời.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15. Phía trên bầu trời.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15. Phía trên bầu trời.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15. Phía trên bầu trời.</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15. Phía trên bầu trời.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15. Phía trên bầu trời.</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15. Phía trên bầu trời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15. Phía trên bầu trời.</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