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15/08/2026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19/08/2026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 HÀM RĂNG TRẮNG SÁNG (Tiết: 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cách chăm sóc răng miệng.</w:t>
      </w:r>
    </w:p>
    <w:p>
      <w:pPr>
        <w:spacing w:line="288" w:lineRule="auto" w:after="60" w:before="0"/>
        <w:ind w:firstLine="0" w:left="850"/>
        <w:jc w:val="both"/>
      </w:pPr>
      <w:r>
        <w:rPr>
          <w:rFonts w:ascii="Times New Roman" w:hAnsi="Times New Roman" w:cs="Times New Roman" w:eastAsia="Times New Roman"/>
          <w:b w:val="0"/>
          <w:i w:val="0"/>
          <w:sz w:val="26"/>
        </w:rPr>
        <w:t>+ Lắp robot chải răng.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 Hàm răng trắng sáng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 Hàm răng trắng sáng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 Hàm răng trắng sáng.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 Hàm răng trắng sáng,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 Hàm răng trắng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 Hàm răng trắng sáng.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 Hàm răng trắng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 Hàm răng trắng sáng.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 Hàm răng trắng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 Hàm răng trắng sáng.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 Hàm răng trắng sáng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 Hàm răng trắng sáng.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