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22/08/2026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26/08/2026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3. SỰ PHẢN XẠ ÁNH SÁNG (Tiết: 3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hiện tượng phản xạ ánh sáng.</w:t>
      </w:r>
    </w:p>
    <w:p>
      <w:pPr>
        <w:spacing w:line="288" w:lineRule="auto" w:after="60" w:before="0"/>
        <w:ind w:firstLine="0" w:left="850"/>
        <w:jc w:val="both"/>
      </w:pPr>
      <w:r>
        <w:rPr>
          <w:rFonts w:ascii="Times New Roman" w:hAnsi="Times New Roman" w:cs="Times New Roman" w:eastAsia="Times New Roman"/>
          <w:b w:val="0"/>
          <w:i w:val="0"/>
          <w:sz w:val="26"/>
        </w:rPr>
        <w:t>+ Lắp mô hình máy ảnh.</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3. Sự phản xạ ánh sáng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3. Sự phản xạ ánh sáng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3. Sự phản xạ ánh sáng.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3. Sự phản xạ ánh sáng,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3. Sự phản xạ ánh sáng.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3. Sự phản xạ ánh sáng.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3. Sự phản xạ ánh sáng.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3. Sự phản xạ ánh sáng.</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3. Sự phản xạ ánh sáng.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3. Sự phản xạ ánh sáng.</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3. Sự phản xạ ánh sáng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3. Sự phản xạ ánh sáng.</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