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21/11/2026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25/11/2026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14. SỨC MẠNH CỦA MÁY ỦI (Tiết: 16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cơ cấu máy ủi công trường.</w:t>
      </w:r>
    </w:p>
    <w:p>
      <w:pPr>
        <w:spacing w:line="288" w:lineRule="auto" w:after="60" w:before="0"/>
        <w:ind w:firstLine="0" w:left="850"/>
        <w:jc w:val="both"/>
      </w:pPr>
      <w:r>
        <w:rPr>
          <w:rFonts w:ascii="Times New Roman" w:hAnsi="Times New Roman" w:cs="Times New Roman" w:eastAsia="Times New Roman"/>
          <w:b w:val="0"/>
          <w:i w:val="0"/>
          <w:sz w:val="26"/>
        </w:rPr>
        <w:t>+ Lắp robot máy ủi.</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14. Sức mạnh của máy ủi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14. Sức mạnh của máy ủi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14. Sức mạnh của máy ủi.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14. Sức mạnh của máy ủi,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14. Sức mạnh của máy ủi.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14. Sức mạnh của máy ủi.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14. Sức mạnh của máy ủi.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14. Sức mạnh của máy ủi.</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14. Sức mạnh của máy ủi.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14. Sức mạnh của máy ủi.</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14. Sức mạnh của máy ủi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14. Sức mạnh của máy ủi.</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