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19/12/2026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23/12/2026</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16. CÙNG NHAU ĐI KHẮP THẾ GIỚI (Tiết: 20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nguyên lý trực thăng.</w:t>
      </w:r>
    </w:p>
    <w:p>
      <w:pPr>
        <w:spacing w:line="288" w:lineRule="auto" w:after="60" w:before="0"/>
        <w:ind w:firstLine="0" w:left="850"/>
        <w:jc w:val="both"/>
      </w:pPr>
      <w:r>
        <w:rPr>
          <w:rFonts w:ascii="Times New Roman" w:hAnsi="Times New Roman" w:cs="Times New Roman" w:eastAsia="Times New Roman"/>
          <w:b w:val="0"/>
          <w:i w:val="0"/>
          <w:sz w:val="26"/>
        </w:rPr>
        <w:t>+ Lắp robot trực thăng.</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16. Cùng nhau đi khắp thế giới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16. Cùng nhau đi khắp thế giới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16. Cùng nhau đi khắp thế giới.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16. Cùng nhau đi khắp thế giới,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16. Cùng nhau đi khắp thế giới.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16. Cùng nhau đi khắp thế giới.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16. Cùng nhau đi khắp thế giới.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16. Cùng nhau đi khắp thế giới.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16. Cùng nhau đi khắp thế giới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16. Cùng nhau đi khắp thế giới.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