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01/08/2026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03/08/2026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TIẾT 0: ĐỊNH HƯỚNG MÔN HỌC (Tiết: 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Initiate và nội quy phòng học Robotics. (Đạt được thông qua Hoạt động 1,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Tiết 0: Định hướng môn học.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Tiết 0: Định hướng môn học,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Tiết 0: Định hướng môn học.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Tiết 0: Định hướng môn học.</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Tiết 0: Định hướng môn học.</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Tiết 0: Định hướng môn học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Tiết 0: Định hướng môn học.</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