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02/01/2027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04/01/2027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18. ĐỘ ĐÀN HỒI, LỰC ĐẨY CỦA CUNG TÊN (Tiết: 22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lực đàn hồi và cơ cấu cung tên.</w:t>
      </w:r>
    </w:p>
    <w:p>
      <w:pPr>
        <w:spacing w:line="288" w:lineRule="auto" w:after="60" w:before="0"/>
        <w:ind w:firstLine="0" w:left="850"/>
        <w:jc w:val="both"/>
      </w:pPr>
      <w:r>
        <w:rPr>
          <w:rFonts w:ascii="Times New Roman" w:hAnsi="Times New Roman" w:cs="Times New Roman" w:eastAsia="Times New Roman"/>
          <w:b w:val="0"/>
          <w:i w:val="0"/>
          <w:sz w:val="26"/>
        </w:rPr>
        <w:t>+ Lắp robot bắn cung.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18. Độ đàn hồi, lực đẩy của cung tên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18. Độ đàn hồi, lực đẩy của cung tên.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18. Độ đàn hồi, lực đẩy của cung tên,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18. Độ đàn hồi, lực đẩy của cung tên.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18. Độ đàn hồi, lực đẩy của cung tên.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18. Độ đàn hồi, lực đẩy của cung tên.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18. Độ đàn hồi, lực đẩy của cung tên.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18. Độ đàn hồi, lực đẩy của cung tên.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18. Độ đàn hồi, lực đẩy của cung tên.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18. Độ đàn hồi, lực đẩy của cung tên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18. Độ đàn hồi, lực đẩy của cung tên.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