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16/01/2027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18/01/2027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20. CÙNG NHAU THAM QUAN THÀNH PHỐ (Tiết: 24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phương tiện giao thông công cộng.</w:t>
      </w:r>
    </w:p>
    <w:p>
      <w:pPr>
        <w:spacing w:line="288" w:lineRule="auto" w:after="60" w:before="0"/>
        <w:ind w:firstLine="0" w:left="850"/>
        <w:jc w:val="both"/>
      </w:pPr>
      <w:r>
        <w:rPr>
          <w:rFonts w:ascii="Times New Roman" w:hAnsi="Times New Roman" w:cs="Times New Roman" w:eastAsia="Times New Roman"/>
          <w:b w:val="0"/>
          <w:i w:val="0"/>
          <w:sz w:val="26"/>
        </w:rPr>
        <w:t>+ Lắp robot xe buýt.</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20. Cùng nhau tham quan thành phố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20. Cùng nhau tham quan thành phố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20. Cùng nhau tham quan thành phố.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20. Cùng nhau tham quan thành phố,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20. Cùng nhau tham quan thành phố.</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20. Cùng nhau tham quan thành phố.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20. Cùng nhau tham quan thành phố.</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20. Cùng nhau tham quan thành phố.</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20. Cùng nhau tham quan thành phố.</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20. Cùng nhau tham quan thành phố.</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20. Cùng nhau tham quan thành phố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20. Cùng nhau tham quan thành phố.</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