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Cách hoạt động của động cơ servo Dynamixel.</w:t>
      </w:r>
    </w:p>
    <w:p>
      <w:pPr>
        <w:spacing w:line="276" w:lineRule="auto" w:after="60" w:before="0"/>
        <w:ind w:firstLine="0" w:left="850"/>
        <w:jc w:val="both"/>
      </w:pPr>
      <w:r>
        <w:rPr>
          <w:rFonts w:ascii="Times New Roman" w:hAnsi="Times New Roman" w:cs="Times New Roman" w:eastAsia="Times New Roman"/>
          <w:b w:val="0"/>
          <w:i w:val="0"/>
          <w:sz w:val="26"/>
        </w:rPr>
        <w:t>- Lắp robot khuếch đại chuyển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5. Động cơ Dynamixel hoạt động thế nào?.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5. Động cơ Dynamixel hoạt động thế nào?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