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08/01/2027</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ĐÁNH GIÁ ĐỊNH KỲ 4</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22</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Đánh giá định kỳ 4.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Đánh giá định kỳ 4.</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Đánh giá định kỳ 4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Đánh giá định kỳ 4.</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Đánh giá định kỳ 4.</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Đánh giá định kỳ 4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Đánh giá định kỳ 4.</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Đánh giá định kỳ 4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Đánh giá định kỳ 4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