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01/08/2026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06/08/2026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1A1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TIẾT 0: ĐỊNH HƯỚNG MÔN HỌC (Tiết: 0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Kinder và nội quy phòng học Robotics. (Đạt được thông qua Hoạt động 1,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Tiết 0: Định hướng môn học.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Tiết 0: Định hướng môn học,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Tiết 0: Định hướng môn học.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Tiết 0: Định hướng môn học.</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Tiết 0: Định hướng môn học.</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Tiết 0: Định hướng môn học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Tiết 0: Định hướng môn học.</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