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19/09/2026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24/09/2026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7. NGƯỜI GIAO HÀNG ĐÃ ĐẾN (Tiết: 7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hình thức giao hàng, vận chuyển.</w:t>
      </w:r>
    </w:p>
    <w:p>
      <w:pPr>
        <w:spacing w:line="288" w:lineRule="auto" w:after="60" w:before="0"/>
        <w:ind w:firstLine="0" w:left="850"/>
        <w:jc w:val="both"/>
      </w:pPr>
      <w:r>
        <w:rPr>
          <w:rFonts w:ascii="Times New Roman" w:hAnsi="Times New Roman" w:cs="Times New Roman" w:eastAsia="Times New Roman"/>
          <w:b w:val="0"/>
          <w:i w:val="0"/>
          <w:sz w:val="26"/>
        </w:rPr>
        <w:t>+ Lắp robot giao hàng.</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7. Người giao hàng đã đến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7. Người giao hàng đã đến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7. Người giao hàng đã đến.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7. Người giao hàng đã đến,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7. Người giao hàng đã đến.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7. Người giao hàng đã đến.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7. Người giao hàng đã đến.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7. Người giao hàng đã đến.</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7. Người giao hàng đã đến.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7. Người giao hàng đã đến.</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7. Người giao hàng đã đến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7. Người giao hàng đã đến.</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