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01/10/2026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8. THẾ GIỚI KHỦNG LONG (Tiết: 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nguồn gốc khủng long.</w:t>
      </w:r>
    </w:p>
    <w:p>
      <w:pPr>
        <w:spacing w:line="288" w:lineRule="auto" w:after="60" w:before="0"/>
        <w:ind w:firstLine="0" w:left="850"/>
        <w:jc w:val="both"/>
      </w:pPr>
      <w:r>
        <w:rPr>
          <w:rFonts w:ascii="Times New Roman" w:hAnsi="Times New Roman" w:cs="Times New Roman" w:eastAsia="Times New Roman"/>
          <w:b w:val="0"/>
          <w:i w:val="0"/>
          <w:sz w:val="26"/>
        </w:rPr>
        <w:t>+ Lắp mô hình khủng long.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Thế giới khủng long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Thế giới khủng long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8. Thế giới khủng long.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8. Thế giới khủng long,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8. Thế giới khủng long.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8. Thế giới khủng long.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8. Thế giới khủng long.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8. Thế giới khủng long.</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8. Thế giới khủng long.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8. Thế giới khủng long.</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8. Thế giới khủng long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8. Thế giới khủng long.</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