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01/08/2026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05/08/2026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TIẾT 0: ĐỊNH HƯỚNG MÔN HỌC (Tiết: 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Kinder và nội quy phòng học Robotics. (Đạt được thông qua Hoạt động 1,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Tiết 0: Định hướng môn học.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Tiết 0: Định hướng môn học,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Tiết 0: Định hướng môn học.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Tiết 0: Định hướng môn học.</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Tiết 0: Định hướng môn học.</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Tiết 0: Định hướng môn học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Tiết 0: Định hướng môn học.</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