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19/09/2026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23/09/2026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7. NGƯỜI GIAO HÀNG ĐÃ ĐẾN (Tiết: 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hình thức giao hàng, vận chuyển.</w:t>
      </w:r>
    </w:p>
    <w:p>
      <w:pPr>
        <w:spacing w:line="288" w:lineRule="auto" w:after="60" w:before="0"/>
        <w:ind w:firstLine="0" w:left="850"/>
        <w:jc w:val="both"/>
      </w:pPr>
      <w:r>
        <w:rPr>
          <w:rFonts w:ascii="Times New Roman" w:hAnsi="Times New Roman" w:cs="Times New Roman" w:eastAsia="Times New Roman"/>
          <w:b w:val="0"/>
          <w:i w:val="0"/>
          <w:sz w:val="26"/>
        </w:rPr>
        <w:t>+ Lắp robot giao hàng.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7. Người giao hàng đã đến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7. Người giao hàng đã đến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7. Người giao hàng đã đến.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7. Người giao hàng đã đến,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7. Người giao hàng đã đến.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7. Người giao hàng đã đến.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7. Người giao hàng đã đến.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7. Người giao hàng đã đến.</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7. Người giao hàng đã đến.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7. Người giao hàng đã đến.</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7. Người giao hàng đã đến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7. Người giao hàng đã đến.</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