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17/10/2026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21/10/2026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9. HỒ BƠI MÙA HÈ (Tiết: 11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an toàn bơi lội.</w:t>
      </w:r>
    </w:p>
    <w:p>
      <w:pPr>
        <w:spacing w:line="288" w:lineRule="auto" w:after="60" w:before="0"/>
        <w:ind w:firstLine="0" w:left="850"/>
        <w:jc w:val="both"/>
      </w:pPr>
      <w:r>
        <w:rPr>
          <w:rFonts w:ascii="Times New Roman" w:hAnsi="Times New Roman" w:cs="Times New Roman" w:eastAsia="Times New Roman"/>
          <w:b w:val="0"/>
          <w:i w:val="0"/>
          <w:sz w:val="26"/>
        </w:rPr>
        <w:t>+ Lắp mô hình người bơi lội.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9. Hồ bơi mùa hè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9. Hồ bơi mùa hè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9. Hồ bơi mùa hè.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9. Hồ bơi mùa hè,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9. Hồ bơi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9. Hồ bơi mùa hè.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9. Hồ bơi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9. Hồ bơi mùa hè.</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9. Hồ bơi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9. Hồ bơi mùa hè.</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9. Hồ bơi mùa hè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9. Hồ bơi mùa hè.</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