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31/10/2026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04/11/2026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11. CHÚ CUA CỨNG CÁP (Tiết: 13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nguyên lý cua bò ngang.</w:t>
      </w:r>
    </w:p>
    <w:p>
      <w:pPr>
        <w:spacing w:line="288" w:lineRule="auto" w:after="60" w:before="0"/>
        <w:ind w:firstLine="0" w:left="850"/>
        <w:jc w:val="both"/>
      </w:pPr>
      <w:r>
        <w:rPr>
          <w:rFonts w:ascii="Times New Roman" w:hAnsi="Times New Roman" w:cs="Times New Roman" w:eastAsia="Times New Roman"/>
          <w:b w:val="0"/>
          <w:i w:val="0"/>
          <w:sz w:val="26"/>
        </w:rPr>
        <w:t>+ Lắp robot cua bò ngang.</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11. Chú cua cứng cáp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11. Chú cua cứng cáp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11. Chú cua cứng cáp.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11. Chú cua cứng cáp,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11. Chú cua cứng cáp.</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11. Chú cua cứng cáp.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11. Chú cua cứng cáp.</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11. Chú cua cứng cáp.</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11. Chú cua cứng cáp.</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11. Chú cua cứng cáp.</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11. Chú cua cứng cáp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11. Chú cua cứng cáp.</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