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21/11/2026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25/11/2026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14. BẮT ĐẦU CHUYẾN HÀNH TRÌNH CÙNG TÀU HOẢ (Tiết: 16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công dụng, cấu tạo tàu hỏa.</w:t>
      </w:r>
    </w:p>
    <w:p>
      <w:pPr>
        <w:spacing w:line="288" w:lineRule="auto" w:after="60" w:before="0"/>
        <w:ind w:firstLine="0" w:left="850"/>
        <w:jc w:val="both"/>
      </w:pPr>
      <w:r>
        <w:rPr>
          <w:rFonts w:ascii="Times New Roman" w:hAnsi="Times New Roman" w:cs="Times New Roman" w:eastAsia="Times New Roman"/>
          <w:b w:val="0"/>
          <w:i w:val="0"/>
          <w:sz w:val="26"/>
        </w:rPr>
        <w:t>+ Lắp mô hình tàu hỏa.</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Bắt đầu chuyến hành trình cùng tàu hoả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Bắt đầu chuyến hành trình cùng tàu hoả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14. Bắt đầu chuyến hành trình cùng tàu hoả.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14. Bắt đầu chuyến hành trình cùng tàu hoả,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14. Bắt đầu chuyến hành trình cùng tàu hoả.</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14. Bắt đầu chuyến hành trình cùng tàu hoả.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14. Bắt đầu chuyến hành trình cùng tàu hoả.</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14. Bắt đầu chuyến hành trình cùng tàu hoả.</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14. Bắt đầu chuyến hành trình cùng tàu hoả.</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14. Bắt đầu chuyến hành trình cùng tàu hoả.</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14. Bắt đầu chuyến hành trình cùng tàu hoả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14. Bắt đầu chuyến hành trình cùng tàu hoả.</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