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16/01/2027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20/01/2027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20. ĐẤU VẬT THÚ VỊ (Tiết: 24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Phân biệt thể thao đối kháng.</w:t>
      </w:r>
    </w:p>
    <w:p>
      <w:pPr>
        <w:spacing w:line="288" w:lineRule="auto" w:after="60" w:before="0"/>
        <w:ind w:firstLine="0" w:left="850"/>
        <w:jc w:val="both"/>
      </w:pPr>
      <w:r>
        <w:rPr>
          <w:rFonts w:ascii="Times New Roman" w:hAnsi="Times New Roman" w:cs="Times New Roman" w:eastAsia="Times New Roman"/>
          <w:b w:val="0"/>
          <w:i w:val="0"/>
          <w:sz w:val="26"/>
        </w:rPr>
        <w:t>+ Lắp robot đấu vật.</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20. Đấu vật thú vị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20. Đấu vật thú vị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20. Đấu vật thú vị.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20. Đấu vật thú vị,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20. Đấu vật thú vị.</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20. Đấu vật thú vị.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20. Đấu vật thú vị.</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20. Đấu vật thú vị.</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20. Đấu vật thú vị.</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20. Đấu vật thú vị.</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20. Đấu vật thú vị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20. Đấu vật thú vị.</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