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23/01/2027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27/01/2027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21. SÓC NHỎ DỄ THƯƠNG (Tiết: 25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đặc trưng ngoại hình sóc.</w:t>
      </w:r>
    </w:p>
    <w:p>
      <w:pPr>
        <w:spacing w:line="288" w:lineRule="auto" w:after="60" w:before="0"/>
        <w:ind w:firstLine="0" w:left="850"/>
        <w:jc w:val="both"/>
      </w:pPr>
      <w:r>
        <w:rPr>
          <w:rFonts w:ascii="Times New Roman" w:hAnsi="Times New Roman" w:cs="Times New Roman" w:eastAsia="Times New Roman"/>
          <w:b w:val="0"/>
          <w:i w:val="0"/>
          <w:sz w:val="26"/>
        </w:rPr>
        <w:t>+ Lắp robot sóc nhỏ.</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21. Sóc nhỏ dễ thương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21. Sóc nhỏ dễ thương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21. Sóc nhỏ dễ thương.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21. Sóc nhỏ dễ thương,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21. Sóc nhỏ dễ thương.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21. Sóc nhỏ dễ thương.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21. Sóc nhỏ dễ thương.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21. Sóc nhỏ dễ thương.</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21. Sóc nhỏ dễ thương.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21. Sóc nhỏ dễ thương.</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21. Sóc nhỏ dễ thương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21. Sóc nhỏ dễ thương.</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