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20/02/2027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24/02/2027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23. CHÚ RÙA THÔNG MINH (Tiết: 29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vòng đời loài rùa.</w:t>
      </w:r>
    </w:p>
    <w:p>
      <w:pPr>
        <w:spacing w:line="288" w:lineRule="auto" w:after="60" w:before="0"/>
        <w:ind w:firstLine="0" w:left="850"/>
        <w:jc w:val="both"/>
      </w:pPr>
      <w:r>
        <w:rPr>
          <w:rFonts w:ascii="Times New Roman" w:hAnsi="Times New Roman" w:cs="Times New Roman" w:eastAsia="Times New Roman"/>
          <w:b w:val="0"/>
          <w:i w:val="0"/>
          <w:sz w:val="26"/>
        </w:rPr>
        <w:t>+ Lắp robot rùa bò.</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23. Chú rùa thông minh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23. Chú rùa thông minh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23. Chú rùa thông minh.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23. Chú rùa thông minh,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23. Chú rùa thông minh.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23. Chú rùa thông minh.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23. Chú rùa thông minh.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23. Chú rùa thông minh.</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23. Chú rùa thông minh.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23. Chú rùa thông minh.</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23. Chú rùa thông minh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23. Chú rùa thông minh.</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