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19/09/2026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23/09/2026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7. KHU PHỐ CỦA CHÚNG TA (Tiết: 7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cảnh quan đô thị và bảo vệ môi trường.</w:t>
      </w:r>
    </w:p>
    <w:p>
      <w:pPr>
        <w:spacing w:line="288" w:lineRule="auto" w:after="60" w:before="0"/>
        <w:ind w:firstLine="0" w:left="850"/>
        <w:jc w:val="both"/>
      </w:pPr>
      <w:r>
        <w:rPr>
          <w:rFonts w:ascii="Times New Roman" w:hAnsi="Times New Roman" w:cs="Times New Roman" w:eastAsia="Times New Roman"/>
          <w:b w:val="0"/>
          <w:i w:val="0"/>
          <w:sz w:val="26"/>
        </w:rPr>
        <w:t>+ Lắp robot dọn dẹp.</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Khu phố của chúng ta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Khu phố của chúng ta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7. Khu phố của chúng ta.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7. Khu phố của chúng ta,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7. Khu phố của chúng ta.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7. Khu phố của chúng ta.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7. Khu phố của chúng ta.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7. Khu phố của chúng ta.</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7. Khu phố của chúng ta.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7. Khu phố của chúng ta.</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7. Khu phố của chúng ta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7. Khu phố của chúng ta.</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