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24/10/2026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28/10/2026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10. CÙNG CÂU CÁ NÀO! (Tiết: 12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cơ cấu cần câu và quy tắc an toàn.</w:t>
      </w:r>
    </w:p>
    <w:p>
      <w:pPr>
        <w:spacing w:line="288" w:lineRule="auto" w:after="60" w:before="0"/>
        <w:ind w:firstLine="0" w:left="850"/>
        <w:jc w:val="both"/>
      </w:pPr>
      <w:r>
        <w:rPr>
          <w:rFonts w:ascii="Times New Roman" w:hAnsi="Times New Roman" w:cs="Times New Roman" w:eastAsia="Times New Roman"/>
          <w:b w:val="0"/>
          <w:i w:val="0"/>
          <w:sz w:val="26"/>
        </w:rPr>
        <w:t>+ Lắp robot câu cá.</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10. Cùng câu cá nào!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10. Cùng câu cá nào!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10. Cùng câu cá nào!.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10. Cùng câu cá nào!,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10. Cùng câu cá nào!.</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10. Cùng câu cá nào!.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10. Cùng câu cá nào!.</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10. Cùng câu cá nào!.</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10. Cùng câu cá nào!.</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10. Cùng câu cá nào!.</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10. Cùng câu cá nào!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10. Cùng câu cá nào!.</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