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12/09/2026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14/09/2026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6. ĐỘNG VẬT THÂN MỀM (Tiết: 6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chuyển động động vật thân mềm.</w:t>
      </w:r>
    </w:p>
    <w:p>
      <w:pPr>
        <w:spacing w:line="288" w:lineRule="auto" w:after="60" w:before="0"/>
        <w:ind w:firstLine="0" w:left="850"/>
        <w:jc w:val="both"/>
      </w:pPr>
      <w:r>
        <w:rPr>
          <w:rFonts w:ascii="Times New Roman" w:hAnsi="Times New Roman" w:cs="Times New Roman" w:eastAsia="Times New Roman"/>
          <w:b w:val="0"/>
          <w:i w:val="0"/>
          <w:sz w:val="26"/>
        </w:rPr>
        <w:t>+ Lắp robot ốc/mực.</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6. Động vật thân mềm trong các điều kiện thử nghiệm khác nhau.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6. Động vật thân mềm.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6. Động vật thân mềm,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6. Động vật thân mềm.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6. Động vật thân mềm.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6. Động vật thân mềm.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6. Động vật thân mềm.</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6. Động vật thân mềm.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6. Động vật thân mềm.</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6. Động vật thân mềm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6. Động vật thân mềm.</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