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10/10/2026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12/10/2026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4C1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INITIATE</w:t>
      </w:r>
    </w:p>
    <w:p>
      <w:pPr>
        <w:spacing w:line="319" w:lineRule="auto" w:after="60" w:before="0"/>
        <w:jc w:val="center"/>
      </w:pPr>
      <w:r>
        <w:rPr>
          <w:rFonts w:ascii="Times New Roman" w:hAnsi="Times New Roman" w:cs="Times New Roman" w:eastAsia="Times New Roman"/>
          <w:b/>
          <w:i w:val="0"/>
          <w:sz w:val="26"/>
        </w:rPr>
        <w:t>ĐÁNH GIÁ ĐỊNH KỲ 1 (Tiết: 10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2): Ứng dụng công nghệ và thiết bị thông minh để giải quyết nhiệm vụ mô hình Đánh giá định kỳ 1.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Initiate mẫu, máy tính GV, máy chiếu, bài trình chiếu slide hướng dẫn lắp ráp từng bước mô hình Đánh giá định kỳ 1,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Initiate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Đánh giá định kỳ 1.</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Đánh giá định kỳ 1.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Đánh giá định kỳ 1.</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Đánh giá định kỳ 1.</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Đánh giá định kỳ 1.</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Đánh giá định kỳ 1.</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Đánh giá định kỳ 1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Đánh giá định kỳ 1.</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