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14/11/2026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16/11/2026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13. VẬN CHUYỂN ĐỒ VẬT (Tiết: 15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xe nâng và cơ cấu nâng.</w:t>
      </w:r>
    </w:p>
    <w:p>
      <w:pPr>
        <w:spacing w:line="288" w:lineRule="auto" w:after="60" w:before="0"/>
        <w:ind w:firstLine="0" w:left="850"/>
        <w:jc w:val="both"/>
      </w:pPr>
      <w:r>
        <w:rPr>
          <w:rFonts w:ascii="Times New Roman" w:hAnsi="Times New Roman" w:cs="Times New Roman" w:eastAsia="Times New Roman"/>
          <w:b w:val="0"/>
          <w:i w:val="0"/>
          <w:sz w:val="26"/>
        </w:rPr>
        <w:t>+ Lắp robot xe nâng.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13. Vận chuyển đồ vật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13. Vận chuyển đồ vật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13. Vận chuyển đồ vật.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13. Vận chuyển đồ vật,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13. Vận chuyển đồ vật.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13. Vận chuyển đồ vật.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13. Vận chuyển đồ vật.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13. Vận chuyển đồ vật.</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13. Vận chuyển đồ vật.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13. Vận chuyển đồ vật.</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13. Vận chuyển đồ vật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13. Vận chuyển đồ vật.</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