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15/03/2027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26. BẦU KHÔNG KHÍ TRONG LÀNH (Tiết: 32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bảo vệ sinh thái.</w:t>
      </w:r>
    </w:p>
    <w:p>
      <w:pPr>
        <w:spacing w:line="288" w:lineRule="auto" w:after="60" w:before="0"/>
        <w:ind w:firstLine="0" w:left="850"/>
        <w:jc w:val="both"/>
      </w:pPr>
      <w:r>
        <w:rPr>
          <w:rFonts w:ascii="Times New Roman" w:hAnsi="Times New Roman" w:cs="Times New Roman" w:eastAsia="Times New Roman"/>
          <w:b w:val="0"/>
          <w:i w:val="0"/>
          <w:sz w:val="26"/>
        </w:rPr>
        <w:t>+ Lắp robot bắt sâu bảo vệ cây.</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26. Bầu không khí trong lành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26. Bầu không khí trong lành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26. Bầu không khí trong lành.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26. Bầu không khí trong lành,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26. Bầu không khí trong lành.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26. Bầu không khí trong lành.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26. Bầu không khí trong lành.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26. Bầu không khí trong lành.</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26. Bầu không khí trong lành.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26. Bầu không khí trong lành.</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26. Bầu không khí trong lành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26. Bầu không khí trong lành.</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