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11. LỰC HẤP DẪN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15</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Trọng lực và ứng dụng.</w:t>
      </w:r>
    </w:p>
    <w:p>
      <w:pPr>
        <w:spacing w:line="276" w:lineRule="auto" w:after="60" w:before="0"/>
        <w:ind w:firstLine="0" w:left="850"/>
        <w:jc w:val="both"/>
      </w:pPr>
      <w:r>
        <w:rPr>
          <w:rFonts w:ascii="Times New Roman" w:hAnsi="Times New Roman" w:cs="Times New Roman" w:eastAsia="Times New Roman"/>
          <w:b w:val="0"/>
          <w:i w:val="0"/>
          <w:sz w:val="26"/>
        </w:rPr>
        <w:t>- Chế tạo robot Rodeo sử dụng lực hấp dẫn.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11. Lực hấp dẫn.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11. Lực hấp dẫn.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11. Lực hấp dẫn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11. Lực hấp dẫn.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11. Lực hấp dẫn.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11. Lực hấp dẫn.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11. Lực hấp dẫn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11. Lực hấp dẫn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