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4"/>
        </w:rPr>
        <w:t>[Đề bài số 5]</w:t>
      </w:r>
    </w:p>
    <w:tbl>
      <w:tblPr>
        <w:tblW w:type="auto" w:w="0"/>
        <w:tblLayout w:type="fixed"/>
        <w:tblLook w:firstColumn="1" w:firstRow="1" w:lastColumn="0" w:lastRow="0" w:noHBand="0" w:noVBand="1" w:val="04A0"/>
      </w:tblPr>
      <w:tblGrid>
        <w:gridCol w:w="2424"/>
        <w:gridCol w:w="2424"/>
        <w:gridCol w:w="2424"/>
        <w:gridCol w:w="2424"/>
      </w:tblGrid>
      <w:tr>
        <w:trPr>
          <w:cantSplit/>
        </w:trPr>
        <w:tc>
          <w:tcPr>
            <w:tcW w:type="dxa" w:w="170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sz w:val="22"/>
              </w:rPr>
              <w:t>Họ và tên</w:t>
            </w:r>
          </w:p>
        </w:tc>
        <w:tc>
          <w:tcPr>
            <w:tcW w:type="dxa" w:w="385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2"/>
              </w:rPr>
              <w:t>Đinh Quang Hảo</w:t>
            </w:r>
          </w:p>
        </w:tc>
        <w:tc>
          <w:tcPr>
            <w:tcW w:type="dxa" w:w="2098"/>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sz w:val="22"/>
              </w:rPr>
              <w:t>Mã sinh viên</w:t>
            </w:r>
          </w:p>
        </w:tc>
        <w:tc>
          <w:tcPr>
            <w:tcW w:type="dxa" w:w="175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2"/>
              </w:rPr>
              <w:t>N25DTCN017</w:t>
            </w:r>
          </w:p>
        </w:tc>
      </w:tr>
      <w:tr>
        <w:trPr>
          <w:cantSplit/>
        </w:trPr>
        <w:tc>
          <w:tcPr>
            <w:tcW w:type="dxa" w:w="170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sz w:val="22"/>
              </w:rPr>
              <w:t>Lớp</w:t>
            </w:r>
          </w:p>
        </w:tc>
        <w:tc>
          <w:tcPr>
            <w:tcW w:type="dxa" w:w="385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2"/>
              </w:rPr>
              <w:t>CNTT7</w:t>
            </w:r>
          </w:p>
        </w:tc>
        <w:tc>
          <w:tcPr>
            <w:tcW w:type="dxa" w:w="2098"/>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sz w:val="22"/>
              </w:rPr>
              <w:t>Mã đề</w:t>
            </w:r>
          </w:p>
        </w:tc>
        <w:tc>
          <w:tcPr>
            <w:tcW w:type="dxa" w:w="175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2"/>
              </w:rPr>
              <w:t>05</w:t>
            </w:r>
          </w:p>
        </w:tc>
      </w:tr>
    </w:tbl>
    <w:p/>
    <w:p>
      <w:pPr>
        <w:spacing w:after="100"/>
        <w:jc w:val="center"/>
      </w:pPr>
      <w:r>
        <w:rPr>
          <w:b/>
          <w:sz w:val="25"/>
        </w:rPr>
        <w:t>PHIẾU TRẢ LỜI – RIKKEIGREEN</w:t>
      </w:r>
    </w:p>
    <w:p>
      <w:pPr>
        <w:pStyle w:val="SectionHeader"/>
      </w:pPr>
      <w:r>
        <w:t>3.1. Xây dựng Product Backlog</w:t>
      </w:r>
    </w:p>
    <w:tbl>
      <w:tblPr>
        <w:tblW w:type="auto" w:w="0"/>
        <w:jc w:val="center"/>
        <w:tblLayout w:type="fixed"/>
        <w:tblLook w:firstColumn="1" w:firstRow="1" w:lastColumn="0" w:lastRow="0" w:noHBand="0" w:noVBand="1" w:val="04A0"/>
      </w:tblPr>
      <w:tblGrid>
        <w:gridCol w:w="1814"/>
        <w:gridCol w:w="2268"/>
        <w:gridCol w:w="765"/>
        <w:gridCol w:w="4564"/>
      </w:tblGrid>
      <w:tr>
        <w:trPr>
          <w:tblHeader/>
          <w:cantSplit/>
        </w:trPr>
        <w:tc>
          <w:tcPr>
            <w:tcW w:type="dxa" w:w="181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Epic</w:t>
            </w:r>
          </w:p>
        </w:tc>
        <w:tc>
          <w:tcPr>
            <w:tcW w:type="dxa" w:w="2268"/>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Feature</w:t>
            </w:r>
          </w:p>
        </w:tc>
        <w:tc>
          <w:tcPr>
            <w:tcW w:type="dxa" w:w="765"/>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Mã</w:t>
            </w:r>
          </w:p>
        </w:tc>
        <w:tc>
          <w:tcPr>
            <w:tcW w:type="dxa" w:w="456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User Story (Là…, tôi muốn…, để…)</w:t>
            </w:r>
          </w:p>
        </w:tc>
      </w:tr>
      <w:tr>
        <w:trPr>
          <w:cantSplit/>
          <w:cantSplit/>
        </w:trPr>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Vận hành thu gom</w:t>
            </w:r>
          </w:p>
        </w:tc>
        <w:tc>
          <w:tcPr>
            <w:tcW w:type="dxa" w:w="2268"/>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Tạo và phân công lộ trình thu gom</w:t>
            </w:r>
          </w:p>
        </w:tc>
        <w:tc>
          <w:tcPr>
            <w:tcW w:type="dxa" w:w="76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US-01</w:t>
            </w:r>
          </w:p>
        </w:tc>
        <w:tc>
          <w:tcPr>
            <w:tcW w:type="dxa" w:w="456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Là nhân viên điều phối, tôi muốn tạo và phân công lộ trình thu gom cho từng nhân viên, để mỗi ca có tuyến rõ ràng và tránh bỏ sót điểm thu gom.</w:t>
            </w:r>
          </w:p>
        </w:tc>
      </w:tr>
      <w:tr>
        <w:trPr>
          <w:cantSplit/>
          <w:cantSplit/>
        </w:trPr>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Vận hành thu gom</w:t>
            </w:r>
          </w:p>
        </w:tc>
        <w:tc>
          <w:tcPr>
            <w:tcW w:type="dxa" w:w="2268"/>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Theo dõi mức đầy thùng rác qua cảm biến</w:t>
            </w:r>
          </w:p>
        </w:tc>
        <w:tc>
          <w:tcPr>
            <w:tcW w:type="dxa" w:w="76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US-02</w:t>
            </w:r>
          </w:p>
        </w:tc>
        <w:tc>
          <w:tcPr>
            <w:tcW w:type="dxa" w:w="456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Là nhân viên điều phối, tôi muốn theo dõi mức đầy thùng rác từ cảm biến và biết khi dữ liệu bị trễ, để ưu tiên thu gom thùng gần đầy dựa trên dữ liệu đáng tin cậy.</w:t>
            </w:r>
          </w:p>
        </w:tc>
      </w:tr>
    </w:tbl>
    <w:p>
      <w:pPr>
        <w:spacing w:after="20"/>
      </w:pPr>
    </w:p>
    <w:p>
      <w:pPr>
        <w:pStyle w:val="SectionHeader"/>
      </w:pPr>
      <w:r>
        <w:t>3.2. Phân tích INVEST</w:t>
      </w:r>
    </w:p>
    <w:tbl>
      <w:tblPr>
        <w:tblW w:type="auto" w:w="0"/>
        <w:jc w:val="center"/>
        <w:tblLayout w:type="fixed"/>
        <w:tblLook w:firstColumn="1" w:firstRow="1" w:lastColumn="0" w:lastRow="0" w:noHBand="0" w:noVBand="1" w:val="04A0"/>
      </w:tblPr>
      <w:tblGrid>
        <w:gridCol w:w="2296"/>
        <w:gridCol w:w="7115"/>
      </w:tblGrid>
      <w:tr>
        <w:trPr>
          <w:tblHeader/>
          <w:cantSplit/>
        </w:trPr>
        <w:tc>
          <w:tcPr>
            <w:tcW w:type="dxa" w:w="2296"/>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Tiêu chí chưa đạt</w:t>
            </w:r>
          </w:p>
        </w:tc>
        <w:tc>
          <w:tcPr>
            <w:tcW w:type="dxa" w:w="7115"/>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Lý do (gắn với US-X)</w:t>
            </w:r>
          </w:p>
        </w:tc>
      </w:tr>
      <w:tr>
        <w:trPr>
          <w:cantSplit/>
          <w:cantSplit/>
        </w:trPr>
        <w:tc>
          <w:tcPr>
            <w:tcW w:type="dxa" w:w="229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S – Small (Đủ nhỏ)</w:t>
            </w:r>
          </w:p>
        </w:tc>
        <w:tc>
          <w:tcPr>
            <w:tcW w:type="dxa" w:w="711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US-X gộp ba chức năng lớn: phân công lộ trình, giám sát cảm biến và chấm điểm tự động, nên khó hoàn thành, kiểm thử trọn vẹn trong một Sprint.</w:t>
            </w:r>
          </w:p>
        </w:tc>
      </w:tr>
      <w:tr>
        <w:trPr>
          <w:cantSplit/>
          <w:cantSplit/>
        </w:trPr>
        <w:tc>
          <w:tcPr>
            <w:tcW w:type="dxa" w:w="229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T – Testable (Có thể kiểm thử)</w:t>
            </w:r>
          </w:p>
        </w:tc>
        <w:tc>
          <w:tcPr>
            <w:tcW w:type="dxa" w:w="711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Kết quả “để làm việc tốt hơn” quá chung chung; story chưa nêu hành vi và kết quả quan sát được để kiểm thử từng chức năng.</w:t>
            </w:r>
          </w:p>
        </w:tc>
      </w:tr>
    </w:tbl>
    <w:p>
      <w:pPr>
        <w:spacing w:after="20"/>
      </w:pPr>
    </w:p>
    <w:tbl>
      <w:tblPr>
        <w:tblW w:type="auto" w:w="0"/>
        <w:jc w:val="center"/>
        <w:tblLayout w:type="fixed"/>
        <w:tblLook w:firstColumn="1" w:firstRow="1" w:lastColumn="0" w:lastRow="0" w:noHBand="0" w:noVBand="1" w:val="04A0"/>
      </w:tblPr>
      <w:tblGrid>
        <w:gridCol w:w="1247"/>
        <w:gridCol w:w="8164"/>
      </w:tblGrid>
      <w:tr>
        <w:trPr>
          <w:tblHeader/>
          <w:cantSplit/>
        </w:trPr>
        <w:tc>
          <w:tcPr>
            <w:tcW w:type="dxa" w:w="1247"/>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Mã</w:t>
            </w:r>
          </w:p>
        </w:tc>
        <w:tc>
          <w:tcPr>
            <w:tcW w:type="dxa" w:w="816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User Story viết lại</w:t>
            </w:r>
          </w:p>
        </w:tc>
      </w:tr>
      <w:tr>
        <w:trPr>
          <w:cantSplit/>
          <w:cantSplit/>
        </w:trPr>
        <w:tc>
          <w:tcPr>
            <w:tcW w:type="dxa" w:w="124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US-X1</w:t>
            </w:r>
          </w:p>
        </w:tc>
        <w:tc>
          <w:tcPr>
            <w:tcW w:type="dxa" w:w="816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Là nhân viên thu gom, tôi muốn xem danh sách lộ trình được phân công cho ca của mình, để biết rõ các điểm thu gom cần thực hiện.</w:t>
            </w:r>
          </w:p>
        </w:tc>
      </w:tr>
      <w:tr>
        <w:trPr>
          <w:cantSplit/>
          <w:cantSplit/>
        </w:trPr>
        <w:tc>
          <w:tcPr>
            <w:tcW w:type="dxa" w:w="124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US-X2</w:t>
            </w:r>
          </w:p>
        </w:tc>
        <w:tc>
          <w:tcPr>
            <w:tcW w:type="dxa" w:w="816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Là nhân viên thu gom, tôi muốn xem mức đầy của các thùng rác trên lộ trình kèm trạng thái dữ liệu, để ưu tiên những thùng cần thu gom mà không nhầm dữ liệu cũ là hiện tại.</w:t>
            </w:r>
          </w:p>
        </w:tc>
      </w:tr>
    </w:tbl>
    <w:p>
      <w:pPr>
        <w:spacing w:after="20"/>
      </w:pPr>
    </w:p>
    <w:p>
      <w:pPr>
        <w:spacing w:after="120"/>
      </w:pPr>
      <w:r>
        <w:rPr>
          <w:b/>
        </w:rPr>
        <w:t xml:space="preserve">Ghi chú: </w:t>
      </w:r>
      <w:r>
        <w:t>Chức năng chấm điểm tự động là phạm vi độc lập còn lại của US-X, cần được tách thành một Product Backlog Item riêng ở bước refinement tiếp theo; hai story trên chỉ lấy hai phần nhỏ, có thể kiểm thử độc lập.</w:t>
      </w:r>
    </w:p>
    <w:p>
      <w:pPr>
        <w:pStyle w:val="SectionHeader"/>
      </w:pPr>
      <w:r>
        <w:t>3.3. Ưu tiên theo MoSCoW</w:t>
      </w:r>
    </w:p>
    <w:tbl>
      <w:tblPr>
        <w:tblW w:type="auto" w:w="0"/>
        <w:jc w:val="center"/>
        <w:tblLayout w:type="fixed"/>
        <w:tblLook w:firstColumn="1" w:firstRow="1" w:lastColumn="0" w:lastRow="0" w:noHBand="0" w:noVBand="1" w:val="04A0"/>
      </w:tblPr>
      <w:tblGrid>
        <w:gridCol w:w="1134"/>
        <w:gridCol w:w="1871"/>
        <w:gridCol w:w="6406"/>
      </w:tblGrid>
      <w:tr>
        <w:trPr>
          <w:tblHeader/>
          <w:cantSplit/>
        </w:trPr>
        <w:tc>
          <w:tcPr>
            <w:tcW w:type="dxa" w:w="113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Mã</w:t>
            </w:r>
          </w:p>
        </w:tc>
        <w:tc>
          <w:tcPr>
            <w:tcW w:type="dxa" w:w="187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Nhóm MoSCoW</w:t>
            </w:r>
          </w:p>
        </w:tc>
        <w:tc>
          <w:tcPr>
            <w:tcW w:type="dxa" w:w="6406"/>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Lý do (gắn với MVP)</w:t>
            </w:r>
          </w:p>
        </w:tc>
      </w:tr>
      <w:tr>
        <w:trPr>
          <w:cantSplit/>
          <w:cantSplit/>
        </w:trPr>
        <w:tc>
          <w:tcPr>
            <w:tcW w:type="dxa" w:w="113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US-01</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Must Have</w:t>
            </w:r>
          </w:p>
        </w:tc>
        <w:tc>
          <w:tcPr>
            <w:tcW w:type="dxa" w:w="640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MVP phải tạo và phân công được lộ trình để nhân viên có việc cụ thể, bảo đảm vận hành thu gom cơ bản.</w:t>
            </w:r>
          </w:p>
        </w:tc>
      </w:tr>
      <w:tr>
        <w:trPr>
          <w:cantSplit/>
          <w:cantSplit/>
        </w:trPr>
        <w:tc>
          <w:tcPr>
            <w:tcW w:type="dxa" w:w="113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US-02</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Must Have</w:t>
            </w:r>
          </w:p>
        </w:tc>
        <w:tc>
          <w:tcPr>
            <w:tcW w:type="dxa" w:w="640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MVP được xác định bao gồm giám sát mức đầy thùng rác; dữ liệu cảm biến giúp điều phối quyết định thu gom đúng nơi, đồng thời cảnh báo dữ liệu trễ để tránh hiểu sai.</w:t>
            </w:r>
          </w:p>
        </w:tc>
      </w:tr>
    </w:tbl>
    <w:p>
      <w:pPr>
        <w:spacing w:after="20"/>
      </w:pPr>
    </w:p>
    <w:p>
      <w:pPr>
        <w:pStyle w:val="SectionHeader"/>
      </w:pPr>
      <w:r>
        <w:t>3.4. Acceptance Criteria bằng Gherkin</w:t>
      </w:r>
    </w:p>
    <w:tbl>
      <w:tblPr>
        <w:tblW w:type="auto" w:w="0"/>
        <w:jc w:val="center"/>
        <w:tblLayout w:type="fixed"/>
        <w:tblLook w:firstColumn="1" w:firstRow="1" w:lastColumn="0" w:lastRow="0" w:noHBand="0" w:noVBand="1" w:val="04A0"/>
      </w:tblPr>
      <w:tblGrid>
        <w:gridCol w:w="1361"/>
        <w:gridCol w:w="2608"/>
        <w:gridCol w:w="1871"/>
        <w:gridCol w:w="3572"/>
      </w:tblGrid>
      <w:tr>
        <w:trPr>
          <w:tblHeader/>
          <w:cantSplit/>
        </w:trPr>
        <w:tc>
          <w:tcPr>
            <w:tcW w:type="dxa" w:w="136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Kịch bản</w:t>
            </w:r>
          </w:p>
        </w:tc>
        <w:tc>
          <w:tcPr>
            <w:tcW w:type="dxa" w:w="2608"/>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Given</w:t>
            </w:r>
          </w:p>
        </w:tc>
        <w:tc>
          <w:tcPr>
            <w:tcW w:type="dxa" w:w="187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When</w:t>
            </w:r>
          </w:p>
        </w:tc>
        <w:tc>
          <w:tcPr>
            <w:tcW w:type="dxa" w:w="3572"/>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Then</w:t>
            </w:r>
          </w:p>
        </w:tc>
      </w:tr>
      <w:tr>
        <w:trPr>
          <w:cantSplit/>
          <w:cantSplit/>
        </w:trPr>
        <w:tc>
          <w:tcPr>
            <w:tcW w:type="dxa" w:w="136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（1）Thành công</w:t>
            </w:r>
          </w:p>
        </w:tc>
        <w:tc>
          <w:tcPr>
            <w:tcW w:type="dxa" w:w="2608"/>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Nhân viên thu gom A đã đăng nhập; phiếu LT-001 được phân công cho A, còn hiệu lực, chưa bị hủy.</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A mở chi tiết phiếu LT-001 trên ứng dụng.</w:t>
            </w:r>
          </w:p>
        </w:tc>
        <w:tc>
          <w:tcPr>
            <w:tcW w:type="dxa" w:w="3572"/>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Hệ thống hiển thị đúng mã phiếu, tuyến, các điểm thu gom và thời gian của ca; cho phép A thực hiện thao tác “Nhận ca”.</w:t>
            </w:r>
          </w:p>
        </w:tc>
      </w:tr>
    </w:tbl>
    <w:p>
      <w:pPr>
        <w:spacing w:after="20"/>
      </w:pPr>
    </w:p>
    <w:tbl>
      <w:tblPr>
        <w:tblW w:type="auto" w:w="0"/>
        <w:jc w:val="center"/>
        <w:tblLayout w:type="fixed"/>
        <w:tblLook w:firstColumn="1" w:firstRow="1" w:lastColumn="0" w:lastRow="0" w:noHBand="0" w:noVBand="1" w:val="04A0"/>
      </w:tblPr>
      <w:tblGrid>
        <w:gridCol w:w="2494"/>
        <w:gridCol w:w="6917"/>
      </w:tblGrid>
      <w:tr>
        <w:trPr>
          <w:tblHeader/>
          <w:cantSplit/>
        </w:trPr>
        <w:tc>
          <w:tcPr>
            <w:tcW w:type="dxa" w:w="249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Kịch bản lỗi đã chọn</w:t>
            </w:r>
          </w:p>
        </w:tc>
        <w:tc>
          <w:tcPr>
            <w:tcW w:type="dxa" w:w="6917"/>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Then</w:t>
            </w:r>
          </w:p>
        </w:tc>
      </w:tr>
      <w:tr>
        <w:trPr>
          <w:cantSplit/>
          <w:cantSplit/>
        </w:trPr>
        <w:tc>
          <w:tcPr>
            <w:tcW w:type="dxa" w:w="249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 (2b) Đã bị hủy</w:t>
            </w:r>
          </w:p>
        </w:tc>
        <w:tc>
          <w:tcPr>
            <w:tcW w:type="dxa" w:w="691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Hệ thống chỉ hiển thị trạng thái “Đã hủy” đối với phiếu LT-001, không hiển thị phiếu như một lộ trình hợp lệ và không có nút “Nhận ca”.</w:t>
            </w:r>
          </w:p>
        </w:tc>
      </w:tr>
    </w:tbl>
    <w:p>
      <w:pPr>
        <w:spacing w:after="20"/>
      </w:pPr>
    </w:p>
    <w:p>
      <w:pPr>
        <w:pStyle w:val="SectionHeader"/>
      </w:pPr>
      <w:r>
        <w:t>3.5. Phân biệt Acceptance Criteria và Definition of Done</w:t>
      </w:r>
    </w:p>
    <w:tbl>
      <w:tblPr>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Phát biểu 1</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Phát biểu 2</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Phát biểu 3</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Phát biểu 4</w:t>
            </w:r>
          </w:p>
        </w:tc>
      </w:tr>
      <w:tr>
        <w:trPr>
          <w:cantSplit/>
          <w:cantSplit/>
        </w:trPr>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2"/>
              </w:rPr>
              <w:t>AC</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2"/>
              </w:rPr>
              <w:t>AC</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2"/>
              </w:rPr>
              <w:t>DoD</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2"/>
              </w:rPr>
              <w:t>DoD</w:t>
            </w:r>
          </w:p>
        </w:tc>
      </w:tr>
    </w:tbl>
    <w:p>
      <w:pPr>
        <w:spacing w:after="20"/>
      </w:pPr>
    </w:p>
    <w:tbl>
      <w:tblPr>
        <w:tblW w:type="auto" w:w="0"/>
        <w:jc w:val="center"/>
        <w:tblLayout w:type="fixed"/>
        <w:tblLook w:firstColumn="1" w:firstRow="1" w:lastColumn="0" w:lastRow="0" w:noHBand="0" w:noVBand="1" w:val="04A0"/>
      </w:tblPr>
      <w:tblGrid>
        <w:gridCol w:w="9411"/>
      </w:tblGrid>
      <w:tr>
        <w:trPr>
          <w:tblHeader/>
          <w:cantSplit/>
        </w:trPr>
        <w:tc>
          <w:tcPr>
            <w:tcW w:type="dxa" w:w="941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AC và DoD khác nhau thế nào về phạm vi áp dụng?</w:t>
            </w:r>
          </w:p>
        </w:tc>
      </w:tr>
      <w:tr>
        <w:trPr>
          <w:cantSplit/>
          <w:cantSplit/>
        </w:trPr>
        <w:tc>
          <w:tcPr>
            <w:tcW w:type="dxa" w:w="941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Acceptance Criteria quy định điều kiện chấp nhận riêng cho một User Story/PBI; Definition of Done là chuẩn chất lượng và mức hoàn thành chung cho các Increment (hoặc PBI thuộc phạm vi áp dụng), dùng nhất quán trong Scrum Team.</w:t>
            </w:r>
          </w:p>
        </w:tc>
      </w:tr>
    </w:tbl>
    <w:p>
      <w:pPr>
        <w:spacing w:after="20"/>
      </w:pPr>
    </w:p>
    <w:p>
      <w:pPr>
        <w:pStyle w:val="SectionHeader"/>
      </w:pPr>
      <w:r>
        <w:t>3.6. Ước lượng Story Point</w:t>
      </w:r>
    </w:p>
    <w:tbl>
      <w:tblPr>
        <w:tblW w:type="auto" w:w="0"/>
        <w:jc w:val="center"/>
        <w:tblLayout w:type="fixed"/>
        <w:tblLook w:firstColumn="1" w:firstRow="1" w:lastColumn="0" w:lastRow="0" w:noHBand="0" w:noVBand="1" w:val="04A0"/>
      </w:tblPr>
      <w:tblGrid>
        <w:gridCol w:w="1219"/>
        <w:gridCol w:w="1417"/>
        <w:gridCol w:w="6775"/>
      </w:tblGrid>
      <w:tr>
        <w:trPr>
          <w:tblHeader/>
          <w:cantSplit/>
        </w:trPr>
        <w:tc>
          <w:tcPr>
            <w:tcW w:type="dxa" w:w="1219"/>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Mã</w:t>
            </w:r>
          </w:p>
        </w:tc>
        <w:tc>
          <w:tcPr>
            <w:tcW w:type="dxa" w:w="1417"/>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Story Point</w:t>
            </w:r>
          </w:p>
        </w:tc>
        <w:tc>
          <w:tcPr>
            <w:tcW w:type="dxa" w:w="6775"/>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Lý do</w:t>
            </w:r>
          </w:p>
        </w:tc>
      </w:tr>
      <w:tr>
        <w:trPr>
          <w:cantSplit/>
          <w:cantSplit/>
        </w:trPr>
        <w:tc>
          <w:tcPr>
            <w:tcW w:type="dxa" w:w="1219"/>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US-01</w:t>
            </w:r>
          </w:p>
        </w:tc>
        <w:tc>
          <w:tcPr>
            <w:tcW w:type="dxa" w:w="141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8 SP</w:t>
            </w:r>
          </w:p>
        </w:tc>
        <w:tc>
          <w:tcPr>
            <w:tcW w:type="dxa" w:w="677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Có nhiều thao tác liên quan tạo, sửa, phân công tuyến; phải kiểm tra dữ liệu lộ trình, nhân viên và xử lý xung đột phân công.</w:t>
            </w:r>
          </w:p>
        </w:tc>
      </w:tr>
      <w:tr>
        <w:trPr>
          <w:cantSplit/>
          <w:cantSplit/>
        </w:trPr>
        <w:tc>
          <w:tcPr>
            <w:tcW w:type="dxa" w:w="1219"/>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US-02</w:t>
            </w:r>
          </w:p>
        </w:tc>
        <w:tc>
          <w:tcPr>
            <w:tcW w:type="dxa" w:w="1417"/>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5 SP</w:t>
            </w:r>
          </w:p>
        </w:tc>
        <w:tc>
          <w:tcPr>
            <w:tcW w:type="dxa" w:w="677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Cần lấy dữ liệu cảm biến, hiển thị mức đầy, thời điểm cập nhật và đánh dấu “Dữ liệu cũ” khi quá 30 phút; phạm vi gọn hơn US-01.</w:t>
            </w:r>
          </w:p>
        </w:tc>
      </w:tr>
    </w:tbl>
    <w:p>
      <w:pPr>
        <w:spacing w:after="20"/>
      </w:pPr>
    </w:p>
    <w:tbl>
      <w:tblPr>
        <w:tblW w:type="auto" w:w="0"/>
        <w:jc w:val="center"/>
        <w:tblLayout w:type="fixed"/>
        <w:tblLook w:firstColumn="1" w:firstRow="1" w:lastColumn="0" w:lastRow="0" w:noHBand="0" w:noVBand="1" w:val="04A0"/>
      </w:tblPr>
      <w:tblGrid>
        <w:gridCol w:w="9411"/>
      </w:tblGrid>
      <w:tr>
        <w:trPr>
          <w:tblHeader/>
          <w:cantSplit/>
        </w:trPr>
        <w:tc>
          <w:tcPr>
            <w:tcW w:type="dxa" w:w="941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Planning Poker (các thẻ 2, 5, 5, 5, 5, 13): Đội nên làm gì tiếp theo?</w:t>
            </w:r>
          </w:p>
        </w:tc>
      </w:tr>
      <w:tr>
        <w:trPr>
          <w:cantSplit/>
          <w:cantSplit/>
        </w:trPr>
        <w:tc>
          <w:tcPr>
            <w:tcW w:type="dxa" w:w="941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Mời hai người chọn 2 SP và 13 SP giải thích giả định, độ phức tạp và rủi ro; cả nhóm thảo luận để thống nhất cách hiểu PBI, rồi bỏ phiếu ước lượng lại. Không lấy trung bình cộng và không mặc nhiên chọn 5 SP theo đa số.</w:t>
            </w:r>
          </w:p>
        </w:tc>
      </w:tr>
    </w:tbl>
    <w:p>
      <w:pPr>
        <w:spacing w:after="20"/>
      </w:pPr>
    </w:p>
    <w:p>
      <w:pPr>
        <w:pStyle w:val="SectionHeader"/>
      </w:pPr>
      <w:r>
        <w:t>3.7. Lập kế hoạch Sprint</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Nội dung</w:t>
            </w:r>
          </w:p>
        </w:tc>
        <w:tc>
          <w:tcPr>
            <w:tcW w:type="dxa" w:w="6576"/>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Trả lời</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Velocity trung bình</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(23 + 25 + 24) / 3 = 24 SP/Sprint.</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Capacity Sprint 4 và số SP cam kết (trình bày phép tính)</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Capacity chuẩn = 6 người × 10 ngày = 60 người-ngày. Có 1 người nghỉ 5 ngày, nên Capacity Sprint 4 = 60 − 5 = 55 người-ngày. SP dự kiến = 24 × 55 / 60 = 22 SP. Đây là dự báo phục vụ Sprint Planning, không phải cam kết chắc chắn hoàn thành 22 SP.</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Các story chọn (ghi mã) và tổng SP</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B1 (3 SP) + B2 (5 SP) + B3 (5 SP) + B4 (8 SP) = 21 SP ≤ 22 SP. Chọn theo thứ tự ưu tiên đã cho, bảo đảm cả B1–B3 thuộc nhóm Must và thêm B4 thuộc nhóm Should khi còn sức chứa.</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Sprint Goal (1 câu)</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Giúp nhân viên thu gom đăng nhập an toàn, nhận thông báo phân công và xem được chi tiết lộ trình cùng vị trí thùng rác cần thu gom trên ứng dụng.</w:t>
            </w:r>
          </w:p>
        </w:tc>
      </w:tr>
    </w:tbl>
    <w:p>
      <w:pPr>
        <w:spacing w:after="20"/>
      </w:pPr>
    </w:p>
    <w:p>
      <w:pPr>
        <w:pStyle w:val="SectionHeader"/>
      </w:pPr>
      <w:r>
        <w:t>3.8. Phân rã công việc – story B3</w:t>
      </w:r>
    </w:p>
    <w:tbl>
      <w:tblPr>
        <w:tblW w:type="auto" w:w="0"/>
        <w:jc w:val="center"/>
        <w:tblLayout w:type="fixed"/>
        <w:tblLook w:firstColumn="1" w:firstRow="1" w:lastColumn="0" w:lastRow="0" w:noHBand="0" w:noVBand="1" w:val="04A0"/>
      </w:tblPr>
      <w:tblGrid>
        <w:gridCol w:w="5726"/>
        <w:gridCol w:w="1871"/>
        <w:gridCol w:w="1814"/>
      </w:tblGrid>
      <w:tr>
        <w:trPr>
          <w:tblHeader/>
          <w:cantSplit/>
        </w:trPr>
        <w:tc>
          <w:tcPr>
            <w:tcW w:type="dxa" w:w="5726"/>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Task cụ thể</w:t>
            </w:r>
          </w:p>
        </w:tc>
        <w:tc>
          <w:tcPr>
            <w:tcW w:type="dxa" w:w="187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Nhóm công việc</w:t>
            </w:r>
          </w:p>
        </w:tc>
        <w:tc>
          <w:tcPr>
            <w:tcW w:type="dxa" w:w="1814"/>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Ước lượng (giờ)</w:t>
            </w:r>
          </w:p>
        </w:tc>
      </w:tr>
      <w:tr>
        <w:trPr>
          <w:cantSplit/>
          <w:cantSplit/>
        </w:trPr>
        <w:tc>
          <w:tcPr>
            <w:tcW w:type="dxa" w:w="572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Thiết kế màn hình xem phiếu lộ trình với mã tuyến, điểm thu gom, thời gian, trạng thái phiếu và nút “Nhận ca”.</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UI/UX</w:t>
            </w:r>
          </w:p>
        </w:tc>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5</w:t>
            </w:r>
          </w:p>
        </w:tc>
      </w:tr>
      <w:tr>
        <w:trPr>
          <w:cantSplit/>
          <w:cantSplit/>
        </w:trPr>
        <w:tc>
          <w:tcPr>
            <w:tcW w:type="dxa" w:w="572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Phát triển API và màn hình lấy chi tiết phiếu; kiểm tra nhân viên được phân công, chỉ cho xem phiếu của mình; với phiếu đã hủy chỉ hiển thị “Đã hủy”, không cho nhận ca.</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Development</w:t>
            </w:r>
          </w:p>
        </w:tc>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14</w:t>
            </w:r>
          </w:p>
        </w:tc>
      </w:tr>
      <w:tr>
        <w:trPr>
          <w:cantSplit/>
          <w:cantSplit/>
        </w:trPr>
        <w:tc>
          <w:tcPr>
            <w:tcW w:type="dxa" w:w="572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Kiểm thử các luồng phiếu hợp lệ, phiếu thuộc người khác và phiếu đã hủy; xác minh thông tin không bị lộ và nút “Nhận ca” hiển thị đúng điều kiện.</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Testing</w:t>
            </w:r>
          </w:p>
        </w:tc>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7</w:t>
            </w:r>
          </w:p>
        </w:tc>
      </w:tr>
      <w:tr>
        <w:trPr>
          <w:cantSplit/>
          <w:cantSplit/>
        </w:trPr>
        <w:tc>
          <w:tcPr>
            <w:tcW w:type="dxa" w:w="572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Tổng giờ công</w:t>
            </w:r>
          </w:p>
        </w:tc>
        <w:tc>
          <w:tcPr>
            <w:tcW w:type="dxa" w:w="187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r>
          </w:p>
        </w:tc>
        <w:tc>
          <w:tcPr>
            <w:tcW w:type="dxa" w:w="1814"/>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0"/>
              </w:rPr>
              <w:t>26 giờ</w:t>
            </w:r>
          </w:p>
        </w:tc>
      </w:tr>
    </w:tbl>
    <w:p>
      <w:pPr>
        <w:spacing w:after="20"/>
      </w:pPr>
    </w:p>
    <w:p>
      <w:pPr>
        <w:pStyle w:val="SectionHeader"/>
      </w:pPr>
      <w:r>
        <w:t>3.9. Phân tích Burndown Chart</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Nội dung</w:t>
            </w:r>
          </w:p>
        </w:tc>
        <w:tc>
          <w:tcPr>
            <w:tcW w:type="dxa" w:w="6576"/>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Trả lời</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Ngày 4: thực tế, lý tưởng, chênh lệch, kết luận</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Ngày 4: Actual = 22 SP còn lại; Ideal = 15 SP còn lại. Chênh lệch = 22 − 15 = +7 SP. Đội Behind Schedule (chậm so với đường lý tưởng) vì còn nhiều việc hơn kế hoạch.</w:t>
            </w:r>
          </w:p>
        </w:tc>
      </w:tr>
      <w:tr>
        <w:trPr>
          <w:cantSplit/>
          <w:cantSplit/>
        </w:trPr>
        <w:tc>
          <w:tcPr>
            <w:tcW w:type="dxa" w:w="2835"/>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Dấu hiệu bất thường và rủi ro</w:t>
            </w:r>
          </w:p>
        </w:tc>
        <w:tc>
          <w:tcPr>
            <w:tcW w:type="dxa" w:w="6576"/>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Từ ngày 0 đến ngày 2, Actual giữ nguyên 25 SP, không có công việc được ghi nhận là Done. Rủi ro: việc bị tắc nghẽn hoặc chia quá lớn, dồn kiểm thử/tích hợp về cuối Sprint, đe dọa Sprint Goal.</w:t>
            </w:r>
          </w:p>
        </w:tc>
      </w:tr>
    </w:tbl>
    <w:p>
      <w:pPr>
        <w:spacing w:after="20"/>
      </w:pPr>
    </w:p>
    <w:p>
      <w:pPr>
        <w:pStyle w:val="SectionHeader"/>
      </w:pPr>
      <w:r>
        <w:t>3.10. Sprint Review</w:t>
      </w:r>
    </w:p>
    <w:tbl>
      <w:tblPr>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Hoạt động a</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Hoạt động b</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Hoạt động c</w:t>
            </w:r>
          </w:p>
        </w:tc>
        <w:tc>
          <w:tcPr>
            <w:tcW w:type="dxa" w:w="2353"/>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Hoạt động d</w:t>
            </w:r>
          </w:p>
        </w:tc>
      </w:tr>
      <w:tr>
        <w:trPr>
          <w:cantSplit/>
          <w:cantSplit/>
        </w:trPr>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1"/>
              </w:rPr>
              <w:t>Stakeholders</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1"/>
              </w:rPr>
              <w:t>Product Owner</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1"/>
              </w:rPr>
              <w:t>Developers</w:t>
            </w:r>
          </w:p>
        </w:tc>
        <w:tc>
          <w:tcPr>
            <w:tcW w:type="dxa" w:w="2353"/>
            <w:vAlign w:val="center"/>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val="0"/>
                <w:sz w:val="21"/>
              </w:rPr>
              <w:t>Scrum Master</w:t>
            </w:r>
          </w:p>
        </w:tc>
      </w:tr>
    </w:tbl>
    <w:p>
      <w:pPr>
        <w:spacing w:after="20"/>
      </w:pPr>
    </w:p>
    <w:tbl>
      <w:tblPr>
        <w:tblW w:type="auto" w:w="0"/>
        <w:jc w:val="center"/>
        <w:tblLayout w:type="fixed"/>
        <w:tblLook w:firstColumn="1" w:firstRow="1" w:lastColumn="0" w:lastRow="0" w:noHBand="0" w:noVBand="1" w:val="04A0"/>
      </w:tblPr>
      <w:tblGrid>
        <w:gridCol w:w="9411"/>
      </w:tblGrid>
      <w:tr>
        <w:trPr>
          <w:tblHeader/>
          <w:cantSplit/>
        </w:trPr>
        <w:tc>
          <w:tcPr>
            <w:tcW w:type="dxa" w:w="9411"/>
            <w:vAlign w:val="center"/>
            <w:shd w:fill="91ACD8"/>
            <w:tcBorders>
              <w:top w:val="single" w:sz="6" w:color="3E4A5E"/>
              <w:left w:val="single" w:sz="6" w:color="3E4A5E"/>
              <w:bottom w:val="single" w:sz="6" w:color="3E4A5E"/>
              <w:right w:val="single" w:sz="6" w:color="3E4A5E"/>
            </w:tcBorders>
          </w:tcPr>
          <w:p>
            <w:pPr>
              <w:spacing w:before="40" w:after="40" w:line="257" w:lineRule="auto"/>
              <w:jc w:val="center"/>
            </w:pPr>
            <w:r/>
            <w:r>
              <w:rPr>
                <w:rFonts w:ascii="Times New Roman" w:hAnsi="Times New Roman" w:eastAsia="Times New Roman"/>
                <w:b/>
                <w:sz w:val="21"/>
              </w:rPr>
              <w:t>PO xử lý đề nghị của Stakeholder thế nào?</w:t>
            </w:r>
          </w:p>
        </w:tc>
      </w:tr>
      <w:tr>
        <w:trPr>
          <w:cantSplit/>
          <w:cantSplit/>
        </w:trPr>
        <w:tc>
          <w:tcPr>
            <w:tcW w:type="dxa" w:w="9411"/>
            <w:vAlign w:val="center"/>
            <w:tcBorders>
              <w:top w:val="single" w:sz="6" w:color="3E4A5E"/>
              <w:left w:val="single" w:sz="6" w:color="3E4A5E"/>
              <w:bottom w:val="single" w:sz="6" w:color="3E4A5E"/>
              <w:right w:val="single" w:sz="6" w:color="3E4A5E"/>
            </w:tcBorders>
          </w:tcPr>
          <w:p>
            <w:pPr>
              <w:spacing w:before="40" w:after="40" w:line="257" w:lineRule="auto"/>
            </w:pPr>
            <w:r/>
            <w:r>
              <w:rPr>
                <w:rFonts w:ascii="Times New Roman" w:hAnsi="Times New Roman" w:eastAsia="Times New Roman"/>
                <w:b w:val="0"/>
                <w:sz w:val="21"/>
              </w:rPr>
              <w:t>Product Owner ghi nhận yêu cầu cho người dân báo thùng rác đầy thành một Product Backlog Item, làm rõ giá trị và phạm vi, rồi tự quyết định mức ưu tiên dựa trên Product Goal và các nhu cầu khác; không tự ý thêm ngay vào Sprint đã kết thúc.</w:t>
            </w:r>
          </w:p>
        </w:tc>
      </w:tr>
    </w:tbl>
    <w:p>
      <w:pPr>
        <w:spacing w:after="20"/>
      </w:pPr>
    </w:p>
    <w:sectPr w:rsidR="00FC693F" w:rsidRPr="0006063C" w:rsidSect="00034616">
      <w:footerReference w:type="default" r:id="rId9"/>
      <w:pgSz w:w="11906" w:h="16838"/>
      <w:pgMar w:top="975" w:right="1077" w:bottom="935"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16B7C"/>
        <w:sz w:val="18"/>
      </w:rPr>
      <w:t>Đề 05 · RikkeiGreen · Đinh Quang Hảo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Times New Roman" w:hAnsi="Times New Roman" w:eastAsia="Times New Roman"/>
      <w:color w:val="1919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Header"/>
    <w:basedOn w:val="Normal"/>
    <w:pPr>
      <w:keepNext/>
      <w:spacing w:before="240" w:after="140"/>
    </w:pPr>
    <w:rPr>
      <w:rFonts w:ascii="Times New Roman" w:hAnsi="Times New Roman"/>
      <w:b/>
      <w:sz w:val="26"/>
    </w:rPr>
  </w:style>
  <w:style w:type="paragraph" w:customStyle="1" w:styleId="SmallText">
    <w:name w:val="SmallText"/>
    <w:basedOn w:val="Normal"/>
    <w:pPr>
      <w:spacing w:after="6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