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THỰC HÀNH THIẾT KẾ TÍNH NĂNG NHẮC UỐNG THUỐC RIKKEICARE</w:t>
      </w:r>
    </w:p>
    <w:p>
      <w:pPr>
        <w:pBdr>
          <w:bottom w:val="single" w:color="B8C2CC" w:sz="6" w:space="8"/>
        </w:pBdr>
        <w:spacing w:after="200"/>
        <w:jc w:val="center"/>
      </w:pPr>
      <w:r>
        <w:rPr>
          <w:rFonts w:ascii="Arial" w:cs="Arial" w:eastAsia="Arial" w:hAnsi="Arial"/>
          <w:color w:val="4C5A68"/>
          <w:sz w:val="20"/>
          <w:szCs w:val="20"/>
        </w:rPr>
        <w:t xml:space="preserve">Họ và tên: ……………………………………     Lớp: ……………………</w:t>
      </w:r>
    </w:p>
    <w:p>
      <w:pPr>
        <w:pStyle w:val="Heading1"/>
      </w:pPr>
      <w:r>
        <w:rPr>
          <w:rFonts w:ascii="Arial" w:cs="Arial" w:eastAsia="Arial" w:hAnsi="Arial"/>
          <w:b/>
          <w:bCs/>
          <w:color w:val="16222E"/>
          <w:sz w:val="28"/>
          <w:szCs w:val="28"/>
        </w:rPr>
        <w:t xml:space="preserve">Bước 1 — Phân tích Use Case và xác định yếu tố UI</w:t>
      </w:r>
    </w:p>
    <w:p>
      <w:pPr>
        <w:spacing w:after="100" w:line="300"/>
      </w:pPr>
      <w:r>
        <w:rPr>
          <w:rFonts w:ascii="Arial" w:cs="Arial" w:eastAsia="Arial" w:hAnsi="Arial"/>
          <w:b/>
          <w:bCs/>
          <w:sz w:val="22"/>
          <w:szCs w:val="22"/>
        </w:rPr>
        <w:t xml:space="preserve">Use Case: </w:t>
      </w:r>
      <w:r>
        <w:rPr>
          <w:rFonts w:ascii="Arial" w:cs="Arial" w:eastAsia="Arial" w:hAnsi="Arial"/>
          <w:i/>
          <w:iCs/>
          <w:sz w:val="22"/>
          <w:szCs w:val="22"/>
        </w:rPr>
        <w:t xml:space="preserve">Đến giờ uống thuốc đã hẹn, hệ thống tự hiện thông báo nhắc nhở kèm tên thuốc → Bệnh nhân xem thông báo, nhấn “Đã uống” → Hệ thống ghi nhận và đóng thông báo.</w:t>
      </w:r>
    </w:p>
    <w:p>
      <w:pPr>
        <w:pStyle w:val="Heading2"/>
      </w:pPr>
      <w:r>
        <w:rPr>
          <w:rFonts w:ascii="Arial" w:cs="Arial" w:eastAsia="Arial" w:hAnsi="Arial"/>
          <w:b/>
          <w:bCs/>
          <w:color w:val="1C4E80"/>
          <w:sz w:val="24"/>
          <w:szCs w:val="24"/>
        </w:rPr>
        <w:t xml:space="preserve">Actor</w:t>
      </w:r>
    </w:p>
    <w:p>
      <w:pPr>
        <w:pStyle w:val="ListParagraph"/>
        <w:numPr>
          <w:ilvl w:val="0"/>
          <w:numId w:val="2"/>
        </w:numPr>
        <w:spacing w:after="80" w:line="300"/>
      </w:pPr>
      <w:r>
        <w:rPr>
          <w:rFonts w:ascii="Arial" w:cs="Arial" w:eastAsia="Arial" w:hAnsi="Arial"/>
          <w:b/>
          <w:bCs/>
          <w:sz w:val="22"/>
          <w:szCs w:val="22"/>
        </w:rPr>
        <w:t xml:space="preserve">Bệnh nhân mãn tính (Actor chính): </w:t>
      </w:r>
      <w:r>
        <w:rPr>
          <w:rFonts w:ascii="Arial" w:cs="Arial" w:eastAsia="Arial" w:hAnsi="Arial"/>
          <w:sz w:val="22"/>
          <w:szCs w:val="22"/>
        </w:rPr>
        <w:t xml:space="preserve">phần lớn là người lớn tuổi, mắt yếu, dễ bối rối với giao diện rườm rà hoặc chữ nhỏ. Người này xem thông báo và nhấn “Đã uống”.</w:t>
      </w:r>
    </w:p>
    <w:p>
      <w:pPr>
        <w:pStyle w:val="ListParagraph"/>
        <w:numPr>
          <w:ilvl w:val="0"/>
          <w:numId w:val="2"/>
        </w:numPr>
        <w:spacing w:after="80" w:line="300"/>
      </w:pPr>
      <w:r>
        <w:rPr>
          <w:rFonts w:ascii="Arial" w:cs="Arial" w:eastAsia="Arial" w:hAnsi="Arial"/>
          <w:b/>
          <w:bCs/>
          <w:sz w:val="22"/>
          <w:szCs w:val="22"/>
        </w:rPr>
        <w:t xml:space="preserve">Hệ thống RikkeiCare (Actor phụ): </w:t>
      </w:r>
      <w:r>
        <w:rPr>
          <w:rFonts w:ascii="Arial" w:cs="Arial" w:eastAsia="Arial" w:hAnsi="Arial"/>
          <w:sz w:val="22"/>
          <w:szCs w:val="22"/>
        </w:rPr>
        <w:t xml:space="preserve">tự kích hoạt thông báo đúng giờ hẹn, ghi nhận việc đã uống và đóng thông báo mà bệnh nhân không cần thao tác thêm.</w:t>
      </w:r>
    </w:p>
    <w:p>
      <w:pPr>
        <w:pStyle w:val="Heading2"/>
      </w:pPr>
      <w:r>
        <w:rPr>
          <w:rFonts w:ascii="Arial" w:cs="Arial" w:eastAsia="Arial" w:hAnsi="Arial"/>
          <w:b/>
          <w:bCs/>
          <w:color w:val="1C4E80"/>
          <w:sz w:val="24"/>
          <w:szCs w:val="24"/>
        </w:rPr>
        <w:t xml:space="preserve">UI Element cho từng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2250"/>
        <w:gridCol w:w="4338"/>
        <w:gridCol w:w="1300"/>
      </w:tblGrid>
      <w:tr>
        <w:trPr>
          <w:tblHeader/>
        </w:trPr>
        <w:tc>
          <w:tcPr>
            <w:tcW w:type="dxa" w:w="1750"/>
            <w:tcBorders>
              <w:top w:val="single" w:color="B8C2CC" w:sz="4"/>
              <w:left w:val="single" w:color="B8C2CC" w:sz="4"/>
              <w:bottom w:val="single" w:color="B8C2CC" w:sz="4"/>
              <w:right w:val="single" w:color="B8C2CC" w:sz="4"/>
            </w:tcBorders>
            <w:shd w:fill="DCE6EF" w:color="auto" w:val="clear"/>
            <w:tcMar>
              <w:top w:type="dxa" w:w="90"/>
              <w:left w:type="dxa" w:w="120"/>
              <w:bottom w:type="dxa" w:w="90"/>
              <w:right w:type="dxa" w:w="120"/>
            </w:tcMar>
            <w:vAlign w:val="top"/>
          </w:tcPr>
          <w:p>
            <w:pPr>
              <w:spacing w:after="40" w:line="280"/>
            </w:pPr>
            <w:r>
              <w:rPr>
                <w:rFonts w:ascii="Arial" w:cs="Arial" w:eastAsia="Arial" w:hAnsi="Arial"/>
                <w:b/>
                <w:bCs/>
                <w:sz w:val="20"/>
                <w:szCs w:val="20"/>
              </w:rPr>
              <w:t xml:space="preserve">Thành phần</w:t>
            </w:r>
          </w:p>
        </w:tc>
        <w:tc>
          <w:tcPr>
            <w:tcW w:type="dxa" w:w="2250"/>
            <w:tcBorders>
              <w:top w:val="single" w:color="B8C2CC" w:sz="4"/>
              <w:left w:val="single" w:color="B8C2CC" w:sz="4"/>
              <w:bottom w:val="single" w:color="B8C2CC" w:sz="4"/>
              <w:right w:val="single" w:color="B8C2CC" w:sz="4"/>
            </w:tcBorders>
            <w:shd w:fill="DCE6EF" w:color="auto" w:val="clear"/>
            <w:tcMar>
              <w:top w:type="dxa" w:w="90"/>
              <w:left w:type="dxa" w:w="120"/>
              <w:bottom w:type="dxa" w:w="90"/>
              <w:right w:type="dxa" w:w="120"/>
            </w:tcMar>
            <w:vAlign w:val="top"/>
          </w:tcPr>
          <w:p>
            <w:pPr>
              <w:spacing w:after="40" w:line="280"/>
            </w:pPr>
            <w:r>
              <w:rPr>
                <w:rFonts w:ascii="Arial" w:cs="Arial" w:eastAsia="Arial" w:hAnsi="Arial"/>
                <w:b/>
                <w:bCs/>
                <w:sz w:val="20"/>
                <w:szCs w:val="20"/>
              </w:rPr>
              <w:t xml:space="preserve">UI Element chỉ định</w:t>
            </w:r>
          </w:p>
        </w:tc>
        <w:tc>
          <w:tcPr>
            <w:tcW w:type="dxa" w:w="4338"/>
            <w:tcBorders>
              <w:top w:val="single" w:color="B8C2CC" w:sz="4"/>
              <w:left w:val="single" w:color="B8C2CC" w:sz="4"/>
              <w:bottom w:val="single" w:color="B8C2CC" w:sz="4"/>
              <w:right w:val="single" w:color="B8C2CC" w:sz="4"/>
            </w:tcBorders>
            <w:shd w:fill="DCE6EF" w:color="auto" w:val="clear"/>
            <w:tcMar>
              <w:top w:type="dxa" w:w="90"/>
              <w:left w:type="dxa" w:w="120"/>
              <w:bottom w:type="dxa" w:w="90"/>
              <w:right w:type="dxa" w:w="120"/>
            </w:tcMar>
            <w:vAlign w:val="top"/>
          </w:tcPr>
          <w:p>
            <w:pPr>
              <w:spacing w:after="40" w:line="280"/>
            </w:pPr>
            <w:r>
              <w:rPr>
                <w:rFonts w:ascii="Arial" w:cs="Arial" w:eastAsia="Arial" w:hAnsi="Arial"/>
                <w:b/>
                <w:bCs/>
                <w:sz w:val="20"/>
                <w:szCs w:val="20"/>
              </w:rPr>
              <w:t xml:space="preserve">Đặc tả thiết kế</w:t>
            </w:r>
          </w:p>
        </w:tc>
        <w:tc>
          <w:tcPr>
            <w:tcW w:type="dxa" w:w="1300"/>
            <w:tcBorders>
              <w:top w:val="single" w:color="B8C2CC" w:sz="4"/>
              <w:left w:val="single" w:color="B8C2CC" w:sz="4"/>
              <w:bottom w:val="single" w:color="B8C2CC" w:sz="4"/>
              <w:right w:val="single" w:color="B8C2CC" w:sz="4"/>
            </w:tcBorders>
            <w:shd w:fill="DCE6EF" w:color="auto" w:val="clear"/>
            <w:tcMar>
              <w:top w:type="dxa" w:w="90"/>
              <w:left w:type="dxa" w:w="120"/>
              <w:bottom w:type="dxa" w:w="90"/>
              <w:right w:type="dxa" w:w="120"/>
            </w:tcMar>
            <w:vAlign w:val="top"/>
          </w:tcPr>
          <w:p>
            <w:pPr>
              <w:spacing w:after="40" w:line="280"/>
            </w:pPr>
            <w:r>
              <w:rPr>
                <w:rFonts w:ascii="Arial" w:cs="Arial" w:eastAsia="Arial" w:hAnsi="Arial"/>
                <w:b/>
                <w:bCs/>
                <w:sz w:val="20"/>
                <w:szCs w:val="20"/>
              </w:rPr>
              <w:t xml:space="preserve">Nguyên tắc</w:t>
            </w:r>
          </w:p>
        </w:tc>
      </w:tr>
      <w:tr>
        <w:tc>
          <w:tcPr>
            <w:tcW w:type="dxa" w:w="1750"/>
            <w:tcBorders>
              <w:top w:val="single" w:color="B8C2CC" w:sz="4"/>
              <w:left w:val="single" w:color="B8C2CC" w:sz="4"/>
              <w:bottom w:val="single" w:color="B8C2CC" w:sz="4"/>
              <w:right w:val="single" w:color="B8C2CC" w:sz="4"/>
            </w:tcBorders>
            <w:tcMar>
              <w:top w:type="dxa" w:w="90"/>
              <w:left w:type="dxa" w:w="120"/>
              <w:bottom w:type="dxa" w:w="90"/>
              <w:right w:type="dxa" w:w="120"/>
            </w:tcMar>
            <w:vAlign w:val="top"/>
          </w:tcPr>
          <w:p>
            <w:pPr>
              <w:spacing w:after="40" w:line="280"/>
            </w:pPr>
            <w:r>
              <w:rPr>
                <w:rFonts w:ascii="Arial" w:cs="Arial" w:eastAsia="Arial" w:hAnsi="Arial"/>
                <w:b/>
                <w:bCs/>
                <w:sz w:val="20"/>
                <w:szCs w:val="20"/>
              </w:rPr>
              <w:t xml:space="preserve">(a) Khối hiển thị tên thuốc</w:t>
            </w:r>
          </w:p>
        </w:tc>
        <w:tc>
          <w:tcPr>
            <w:tcW w:type="dxa" w:w="2250"/>
            <w:tcBorders>
              <w:top w:val="single" w:color="B8C2CC" w:sz="4"/>
              <w:left w:val="single" w:color="B8C2CC" w:sz="4"/>
              <w:bottom w:val="single" w:color="B8C2CC" w:sz="4"/>
              <w:right w:val="single" w:color="B8C2CC" w:sz="4"/>
            </w:tcBorders>
            <w:tcMar>
              <w:top w:type="dxa" w:w="90"/>
              <w:left w:type="dxa" w:w="120"/>
              <w:bottom w:type="dxa" w:w="90"/>
              <w:right w:type="dxa" w:w="120"/>
            </w:tcMar>
            <w:vAlign w:val="top"/>
          </w:tcPr>
          <w:p>
            <w:pPr>
              <w:spacing w:after="40" w:line="280"/>
            </w:pPr>
            <w:r>
              <w:rPr>
                <w:rFonts w:ascii="Arial" w:cs="Arial" w:eastAsia="Arial" w:hAnsi="Arial"/>
                <w:b w:val="false"/>
                <w:bCs w:val="false"/>
                <w:sz w:val="20"/>
                <w:szCs w:val="20"/>
              </w:rPr>
              <w:t xml:space="preserve">Thẻ thông báo (Notification Card) chứa nhãn văn bản: tiêu đề “Đến giờ uống thuốc”, tên thuốc, liều và giờ uống.</w:t>
            </w:r>
          </w:p>
        </w:tc>
        <w:tc>
          <w:tcPr>
            <w:tcW w:type="dxa" w:w="4338"/>
            <w:tcBorders>
              <w:top w:val="single" w:color="B8C2CC" w:sz="4"/>
              <w:left w:val="single" w:color="B8C2CC" w:sz="4"/>
              <w:bottom w:val="single" w:color="B8C2CC" w:sz="4"/>
              <w:right w:val="single" w:color="B8C2CC" w:sz="4"/>
            </w:tcBorders>
            <w:tcMar>
              <w:top w:type="dxa" w:w="90"/>
              <w:left w:type="dxa" w:w="120"/>
              <w:bottom w:type="dxa" w:w="90"/>
              <w:right w:type="dxa" w:w="120"/>
            </w:tcMar>
            <w:vAlign w:val="top"/>
          </w:tcPr>
          <w:p>
            <w:pPr>
              <w:spacing w:after="40" w:line="280"/>
            </w:pPr>
            <w:r>
              <w:rPr>
                <w:rFonts w:ascii="Arial" w:cs="Arial" w:eastAsia="Arial" w:hAnsi="Arial"/>
                <w:b w:val="false"/>
                <w:bCs w:val="false"/>
                <w:sz w:val="20"/>
                <w:szCs w:val="20"/>
              </w:rPr>
              <w:t xml:space="preserve">Tên thuốc chữ 28px, đậm, là chữ lớn nhất trong thẻ; chữ phụ tối thiểu 20px. Chữ tối trên nền trắng để tương phản cao, viền dày 3px giúp thẻ nổi bật khỏi nền.</w:t>
            </w:r>
          </w:p>
        </w:tc>
        <w:tc>
          <w:tcPr>
            <w:tcW w:type="dxa" w:w="1300"/>
            <w:tcBorders>
              <w:top w:val="single" w:color="B8C2CC" w:sz="4"/>
              <w:left w:val="single" w:color="B8C2CC" w:sz="4"/>
              <w:bottom w:val="single" w:color="B8C2CC" w:sz="4"/>
              <w:right w:val="single" w:color="B8C2CC" w:sz="4"/>
            </w:tcBorders>
            <w:tcMar>
              <w:top w:type="dxa" w:w="90"/>
              <w:left w:type="dxa" w:w="120"/>
              <w:bottom w:type="dxa" w:w="90"/>
              <w:right w:type="dxa" w:w="120"/>
            </w:tcMar>
            <w:vAlign w:val="top"/>
          </w:tcPr>
          <w:p>
            <w:pPr>
              <w:spacing w:after="40" w:line="280"/>
            </w:pPr>
            <w:r>
              <w:rPr>
                <w:rFonts w:ascii="Arial" w:cs="Arial" w:eastAsia="Arial" w:hAnsi="Arial"/>
                <w:b w:val="false"/>
                <w:bCs w:val="false"/>
                <w:sz w:val="20"/>
                <w:szCs w:val="20"/>
              </w:rPr>
              <w:t xml:space="preserve">Clarity</w:t>
            </w:r>
          </w:p>
        </w:tc>
      </w:tr>
      <w:tr>
        <w:tc>
          <w:tcPr>
            <w:tcW w:type="dxa" w:w="1750"/>
            <w:tcBorders>
              <w:top w:val="single" w:color="B8C2CC" w:sz="4"/>
              <w:left w:val="single" w:color="B8C2CC" w:sz="4"/>
              <w:bottom w:val="single" w:color="B8C2CC" w:sz="4"/>
              <w:right w:val="single" w:color="B8C2CC" w:sz="4"/>
            </w:tcBorders>
            <w:tcMar>
              <w:top w:type="dxa" w:w="90"/>
              <w:left w:type="dxa" w:w="120"/>
              <w:bottom w:type="dxa" w:w="90"/>
              <w:right w:type="dxa" w:w="120"/>
            </w:tcMar>
            <w:vAlign w:val="top"/>
          </w:tcPr>
          <w:p>
            <w:pPr>
              <w:spacing w:after="40" w:line="280"/>
            </w:pPr>
            <w:r>
              <w:rPr>
                <w:rFonts w:ascii="Arial" w:cs="Arial" w:eastAsia="Arial" w:hAnsi="Arial"/>
                <w:b/>
                <w:bCs/>
                <w:sz w:val="20"/>
                <w:szCs w:val="20"/>
              </w:rPr>
              <w:t xml:space="preserve">(b) Nút phản hồi “Đã uống”</w:t>
            </w:r>
          </w:p>
        </w:tc>
        <w:tc>
          <w:tcPr>
            <w:tcW w:type="dxa" w:w="2250"/>
            <w:tcBorders>
              <w:top w:val="single" w:color="B8C2CC" w:sz="4"/>
              <w:left w:val="single" w:color="B8C2CC" w:sz="4"/>
              <w:bottom w:val="single" w:color="B8C2CC" w:sz="4"/>
              <w:right w:val="single" w:color="B8C2CC" w:sz="4"/>
            </w:tcBorders>
            <w:tcMar>
              <w:top w:type="dxa" w:w="90"/>
              <w:left w:type="dxa" w:w="120"/>
              <w:bottom w:type="dxa" w:w="90"/>
              <w:right w:type="dxa" w:w="120"/>
            </w:tcMar>
            <w:vAlign w:val="top"/>
          </w:tcPr>
          <w:p>
            <w:pPr>
              <w:spacing w:after="40" w:line="280"/>
            </w:pPr>
            <w:r>
              <w:rPr>
                <w:rFonts w:ascii="Arial" w:cs="Arial" w:eastAsia="Arial" w:hAnsi="Arial"/>
                <w:b w:val="false"/>
                <w:bCs w:val="false"/>
                <w:sz w:val="20"/>
                <w:szCs w:val="20"/>
              </w:rPr>
              <w:t xml:space="preserve">Nút chính (Primary Button), rộng hết chiều ngang thẻ, kèm biểu tượng dấu tích.</w:t>
            </w:r>
          </w:p>
        </w:tc>
        <w:tc>
          <w:tcPr>
            <w:tcW w:type="dxa" w:w="4338"/>
            <w:tcBorders>
              <w:top w:val="single" w:color="B8C2CC" w:sz="4"/>
              <w:left w:val="single" w:color="B8C2CC" w:sz="4"/>
              <w:bottom w:val="single" w:color="B8C2CC" w:sz="4"/>
              <w:right w:val="single" w:color="B8C2CC" w:sz="4"/>
            </w:tcBorders>
            <w:tcMar>
              <w:top w:type="dxa" w:w="90"/>
              <w:left w:type="dxa" w:w="120"/>
              <w:bottom w:type="dxa" w:w="90"/>
              <w:right w:type="dxa" w:w="120"/>
            </w:tcMar>
            <w:vAlign w:val="top"/>
          </w:tcPr>
          <w:p>
            <w:pPr>
              <w:spacing w:after="40" w:line="280"/>
            </w:pPr>
            <w:r>
              <w:rPr>
                <w:rFonts w:ascii="Arial" w:cs="Arial" w:eastAsia="Arial" w:hAnsi="Arial"/>
                <w:b w:val="false"/>
                <w:bCs w:val="false"/>
                <w:sz w:val="20"/>
                <w:szCs w:val="20"/>
              </w:rPr>
              <w:t xml:space="preserve">Cao 72px (vượt mức tối thiểu 48px cho thiết bị di động), chữ 28px đậm, nền xanh đậm chữ trắng. Đặt ngay dưới tên thuốc, tầm ngón cái dễ chạm. Đây là nút phản hồi duy nhất.</w:t>
            </w:r>
          </w:p>
        </w:tc>
        <w:tc>
          <w:tcPr>
            <w:tcW w:type="dxa" w:w="1300"/>
            <w:tcBorders>
              <w:top w:val="single" w:color="B8C2CC" w:sz="4"/>
              <w:left w:val="single" w:color="B8C2CC" w:sz="4"/>
              <w:bottom w:val="single" w:color="B8C2CC" w:sz="4"/>
              <w:right w:val="single" w:color="B8C2CC" w:sz="4"/>
            </w:tcBorders>
            <w:tcMar>
              <w:top w:type="dxa" w:w="90"/>
              <w:left w:type="dxa" w:w="120"/>
              <w:bottom w:type="dxa" w:w="90"/>
              <w:right w:type="dxa" w:w="120"/>
            </w:tcMar>
            <w:vAlign w:val="top"/>
          </w:tcPr>
          <w:p>
            <w:pPr>
              <w:spacing w:after="40" w:line="280"/>
            </w:pPr>
            <w:r>
              <w:rPr>
                <w:rFonts w:ascii="Arial" w:cs="Arial" w:eastAsia="Arial" w:hAnsi="Arial"/>
                <w:b w:val="false"/>
                <w:bCs w:val="false"/>
                <w:sz w:val="20"/>
                <w:szCs w:val="20"/>
              </w:rPr>
              <w:t xml:space="preserve">Clarity và Simplicity</w:t>
            </w:r>
          </w:p>
        </w:tc>
      </w:tr>
    </w:tbl>
    <w:p>
      <w:pPr>
        <w:pStyle w:val="Heading1"/>
        <w:pageBreakBefore/>
      </w:pPr>
      <w:r>
        <w:rPr>
          <w:rFonts w:ascii="Arial" w:cs="Arial" w:eastAsia="Arial" w:hAnsi="Arial"/>
          <w:b/>
          <w:bCs/>
          <w:color w:val="16222E"/>
          <w:sz w:val="28"/>
          <w:szCs w:val="28"/>
        </w:rPr>
        <w:t xml:space="preserve">Bước 2 — Wireframe theo luồng</w:t>
      </w:r>
    </w:p>
    <w:p>
      <w:pPr>
        <w:spacing w:after="100" w:line="300"/>
      </w:pPr>
      <w:r>
        <w:rPr>
          <w:rFonts w:ascii="Arial" w:cs="Arial" w:eastAsia="Arial" w:hAnsi="Arial"/>
          <w:sz w:val="22"/>
          <w:szCs w:val="22"/>
        </w:rPr>
        <w:t xml:space="preserve">Hai khung được vẽ nối tiếp vào đúng khu vực trống của màn hình chính RikkeiCare: Khung 1 là thông báo nhắc thuốc vừa hiện lên, Khung 2 là màn hình sau khi bệnh nhân nhấn “Đã uống”.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4488"/>
      </w:tblGrid>
      <w:tr>
        <w:tc>
          <w:tcPr>
            <w:tcW w:type="dxa" w:w="5150"/>
            <w:tcBorders>
              <w:top w:val="none" w:color="FFFFFF" w:sz="0"/>
              <w:left w:val="none" w:color="FFFFFF" w:sz="0"/>
              <w:bottom w:val="none" w:color="FFFFFF" w:sz="0"/>
              <w:right w:val="none" w:color="FFFFFF" w:sz="0"/>
            </w:tcBorders>
            <w:tcMar>
              <w:top w:type="dxa" w:w="60"/>
              <w:left w:type="dxa" w:w="0"/>
              <w:bottom w:type="dxa" w:w="60"/>
              <w:right w:type="dxa" w:w="120"/>
            </w:tcMar>
          </w:tcPr>
          <w:p>
            <w:r>
              <w:drawing>
                <wp:inline distT="0" distB="0" distL="0" distR="0">
                  <wp:extent cx="3333750" cy="4629150"/>
                  <wp:effectExtent t="0" r="0" b="0" l="0"/>
                  <wp:docPr id="1" name="wireframe" descr="Wireframe màn hình chính RikkeiCare với Khung 1 thông báo nhắc thuốc và Khung 2 sau khi nhấn Đã uống" title="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4629150"/>
                          </a:xfrm>
                          <a:prstGeom prst="rect">
                            <a:avLst/>
                          </a:prstGeom>
                        </pic:spPr>
                      </pic:pic>
                    </a:graphicData>
                  </a:graphic>
                </wp:inline>
              </w:drawing>
            </w:r>
          </w:p>
        </w:tc>
        <w:tc>
          <w:tcPr>
            <w:tcW w:type="dxa" w:w="4488"/>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160" w:line="280"/>
            </w:pPr>
            <w:r>
              <w:rPr>
                <w:rFonts w:ascii="Arial" w:cs="Arial" w:eastAsia="Arial" w:hAnsi="Arial"/>
                <w:b/>
                <w:bCs/>
                <w:color w:val="C0392B"/>
                <w:sz w:val="20"/>
                <w:szCs w:val="20"/>
              </w:rPr>
              <w:t xml:space="preserve">(1) </w:t>
            </w:r>
            <w:r>
              <w:rPr>
                <w:rFonts w:ascii="Arial" w:cs="Arial" w:eastAsia="Arial" w:hAnsi="Arial"/>
                <w:b/>
                <w:bCs/>
                <w:sz w:val="20"/>
                <w:szCs w:val="20"/>
              </w:rPr>
              <w:t xml:space="preserve">Khối tên thuốc: </w:t>
            </w:r>
            <w:r>
              <w:rPr>
                <w:rFonts w:ascii="Arial" w:cs="Arial" w:eastAsia="Arial" w:hAnsi="Arial"/>
                <w:sz w:val="20"/>
                <w:szCs w:val="20"/>
              </w:rPr>
              <w:t xml:space="preserve">thẻ thông báo với tiêu đề “Đến giờ uống thuốc”, tên thuốc 28px đậm (thông tin lớn nhất, thấy đầu tiên), kèm liều và giờ 20px.</w:t>
            </w:r>
          </w:p>
          <w:p>
            <w:pPr>
              <w:spacing w:after="160" w:line="280"/>
            </w:pPr>
            <w:r>
              <w:rPr>
                <w:rFonts w:ascii="Arial" w:cs="Arial" w:eastAsia="Arial" w:hAnsi="Arial"/>
                <w:b/>
                <w:bCs/>
                <w:color w:val="C0392B"/>
                <w:sz w:val="20"/>
                <w:szCs w:val="20"/>
              </w:rPr>
              <w:t xml:space="preserve">(2) </w:t>
            </w:r>
            <w:r>
              <w:rPr>
                <w:rFonts w:ascii="Arial" w:cs="Arial" w:eastAsia="Arial" w:hAnsi="Arial"/>
                <w:b/>
                <w:bCs/>
                <w:sz w:val="20"/>
                <w:szCs w:val="20"/>
              </w:rPr>
              <w:t xml:space="preserve">Nút “Đã uống”: </w:t>
            </w:r>
            <w:r>
              <w:rPr>
                <w:rFonts w:ascii="Arial" w:cs="Arial" w:eastAsia="Arial" w:hAnsi="Arial"/>
                <w:sz w:val="20"/>
                <w:szCs w:val="20"/>
              </w:rPr>
              <w:t xml:space="preserve">nút duy nhất, cao 72px, chữ 28px, có dấu tích để hiểu ngay cả khi chưa đọc chữ.</w:t>
            </w:r>
          </w:p>
          <w:p>
            <w:pPr>
              <w:spacing w:after="160" w:line="280"/>
            </w:pPr>
            <w:r>
              <w:rPr>
                <w:rFonts w:ascii="Arial" w:cs="Arial" w:eastAsia="Arial" w:hAnsi="Arial"/>
                <w:b/>
                <w:bCs/>
                <w:color w:val="C0392B"/>
                <w:sz w:val="20"/>
                <w:szCs w:val="20"/>
              </w:rPr>
              <w:t xml:space="preserve">(3) </w:t>
            </w:r>
            <w:r>
              <w:rPr>
                <w:rFonts w:ascii="Arial" w:cs="Arial" w:eastAsia="Arial" w:hAnsi="Arial"/>
                <w:b/>
                <w:bCs/>
                <w:sz w:val="20"/>
                <w:szCs w:val="20"/>
              </w:rPr>
              <w:t xml:space="preserve">Xác nhận đã ghi nhận: </w:t>
            </w:r>
            <w:r>
              <w:rPr>
                <w:rFonts w:ascii="Arial" w:cs="Arial" w:eastAsia="Arial" w:hAnsi="Arial"/>
                <w:sz w:val="20"/>
                <w:szCs w:val="20"/>
              </w:rPr>
              <w:t xml:space="preserve">thông báo nhắc thuốc đã đóng; khối xanh lá có dấu tích và chữ lớn hiện ở đúng vị trí cũ, tự ẩn sau khoảng 5 giây để bác kịp đọc.</w:t>
            </w:r>
          </w:p>
          <w:p>
            <w:pPr>
              <w:pBdr>
                <w:top w:val="single" w:color="B8C2CC" w:sz="4" w:space="8"/>
              </w:pBdr>
              <w:spacing w:after="60" w:before="120" w:line="280"/>
            </w:pPr>
            <w:r>
              <w:rPr>
                <w:rFonts w:ascii="Arial" w:cs="Arial" w:eastAsia="Arial" w:hAnsi="Arial"/>
                <w:color w:val="4C5A68"/>
                <w:sz w:val="20"/>
                <w:szCs w:val="20"/>
              </w:rPr>
              <w:t xml:space="preserve">Phần “Xin chào” và “Lịch khám sắp tới” giữ nguyên hiện trạng; hai khung nét đứt là khu vực trống được thiết kế thêm.</w:t>
            </w:r>
          </w:p>
        </w:tc>
      </w:tr>
    </w:tbl>
    <w:p>
      <w:pPr>
        <w:pStyle w:val="Heading1"/>
      </w:pPr>
      <w:r>
        <w:rPr>
          <w:rFonts w:ascii="Arial" w:cs="Arial" w:eastAsia="Arial" w:hAnsi="Arial"/>
          <w:b/>
          <w:bCs/>
          <w:color w:val="16222E"/>
          <w:sz w:val="28"/>
          <w:szCs w:val="28"/>
        </w:rPr>
        <w:t xml:space="preserve">Bước 3 — Tinh chỉnh theo Định luật Hick (Simplicity)</w:t>
      </w:r>
    </w:p>
    <w:p>
      <w:pPr>
        <w:spacing w:after="100" w:line="300"/>
      </w:pPr>
      <w:r>
        <w:rPr>
          <w:rFonts w:ascii="Arial" w:cs="Arial" w:eastAsia="Arial" w:hAnsi="Arial"/>
          <w:b/>
          <w:bCs/>
          <w:sz w:val="22"/>
          <w:szCs w:val="22"/>
        </w:rPr>
        <w:t xml:space="preserve">Nếu thêm 4–5 nút lựa chọn thay vì chỉ 1 nút “Đã uống”: </w:t>
      </w:r>
    </w:p>
    <w:p>
      <w:pPr>
        <w:spacing w:after="100" w:line="300"/>
      </w:pPr>
      <w:r>
        <w:rPr>
          <w:rFonts w:ascii="Arial" w:cs="Arial" w:eastAsia="Arial" w:hAnsi="Arial"/>
          <w:sz w:val="22"/>
          <w:szCs w:val="22"/>
        </w:rPr>
        <w:t xml:space="preserve">Theo Định luật Hick, thời gian ra quyết định tăng theo số lượng lựa chọn, nên bệnh nhân lớn tuổi phải đọc và so sánh từng nút trước khi bấm, dễ bối rối, bấm chậm, bấm nhầm hoặc bỏ qua luôn thông báo. Nhiều nút còn buộc mỗi nút phải nhỏ lại, làm mất Clarity, trong khi chỉ 1 nút “Đã uống” biến việc phản hồi thành một thao tác chạm một lần.</w:t>
      </w:r>
    </w:p>
    <w:p>
      <w:pPr>
        <w:pStyle w:val="Heading2"/>
      </w:pPr>
      <w:r>
        <w:rPr>
          <w:rFonts w:ascii="Arial" w:cs="Arial" w:eastAsia="Arial" w:hAnsi="Arial"/>
          <w:b/>
          <w:bCs/>
          <w:color w:val="1C4E80"/>
          <w:sz w:val="24"/>
          <w:szCs w:val="24"/>
        </w:rPr>
        <w:t xml:space="preserve">Đánh giá Usability</w:t>
      </w:r>
    </w:p>
    <w:p>
      <w:pPr>
        <w:pStyle w:val="ListParagraph"/>
        <w:numPr>
          <w:ilvl w:val="0"/>
          <w:numId w:val="2"/>
        </w:numPr>
        <w:spacing w:after="80" w:line="300"/>
      </w:pPr>
      <w:r>
        <w:rPr>
          <w:rFonts w:ascii="Arial" w:cs="Arial" w:eastAsia="Arial" w:hAnsi="Arial"/>
          <w:b/>
          <w:bCs/>
          <w:sz w:val="22"/>
          <w:szCs w:val="22"/>
        </w:rPr>
        <w:t xml:space="preserve">Dễ học: </w:t>
      </w:r>
      <w:r>
        <w:rPr>
          <w:rFonts w:ascii="Arial" w:cs="Arial" w:eastAsia="Arial" w:hAnsi="Arial"/>
          <w:sz w:val="22"/>
          <w:szCs w:val="22"/>
        </w:rPr>
        <w:t xml:space="preserve">trên thẻ chỉ có một hành động hiển nhiên, không cần hướng dẫn.</w:t>
      </w:r>
    </w:p>
    <w:p>
      <w:pPr>
        <w:pStyle w:val="ListParagraph"/>
        <w:numPr>
          <w:ilvl w:val="0"/>
          <w:numId w:val="2"/>
        </w:numPr>
        <w:spacing w:after="80" w:line="300"/>
      </w:pPr>
      <w:r>
        <w:rPr>
          <w:rFonts w:ascii="Arial" w:cs="Arial" w:eastAsia="Arial" w:hAnsi="Arial"/>
          <w:b/>
          <w:bCs/>
          <w:sz w:val="22"/>
          <w:szCs w:val="22"/>
        </w:rPr>
        <w:t xml:space="preserve">Hiệu quả: </w:t>
      </w:r>
      <w:r>
        <w:rPr>
          <w:rFonts w:ascii="Arial" w:cs="Arial" w:eastAsia="Arial" w:hAnsi="Arial"/>
          <w:sz w:val="22"/>
          <w:szCs w:val="22"/>
        </w:rPr>
        <w:t xml:space="preserve">phản hồi xong trong 1 lần chạm.</w:t>
      </w:r>
    </w:p>
    <w:p>
      <w:pPr>
        <w:pStyle w:val="ListParagraph"/>
        <w:numPr>
          <w:ilvl w:val="0"/>
          <w:numId w:val="2"/>
        </w:numPr>
        <w:spacing w:after="80" w:line="300"/>
      </w:pPr>
      <w:r>
        <w:rPr>
          <w:rFonts w:ascii="Arial" w:cs="Arial" w:eastAsia="Arial" w:hAnsi="Arial"/>
          <w:b/>
          <w:bCs/>
          <w:sz w:val="22"/>
          <w:szCs w:val="22"/>
        </w:rPr>
        <w:t xml:space="preserve">Ít lỗi: </w:t>
      </w:r>
      <w:r>
        <w:rPr>
          <w:rFonts w:ascii="Arial" w:cs="Arial" w:eastAsia="Arial" w:hAnsi="Arial"/>
          <w:sz w:val="22"/>
          <w:szCs w:val="22"/>
        </w:rPr>
        <w:t xml:space="preserve">không có nút phụ để bấm nhầm; nút lớn giúp người tay run hoặc mắt yếu vẫn bấm trúng.</w:t>
      </w:r>
    </w:p>
    <w:p>
      <w:pPr>
        <w:pStyle w:val="ListParagraph"/>
        <w:numPr>
          <w:ilvl w:val="0"/>
          <w:numId w:val="2"/>
        </w:numPr>
        <w:spacing w:after="80" w:line="300"/>
      </w:pPr>
      <w:r>
        <w:rPr>
          <w:rFonts w:ascii="Arial" w:cs="Arial" w:eastAsia="Arial" w:hAnsi="Arial"/>
          <w:b/>
          <w:bCs/>
          <w:sz w:val="22"/>
          <w:szCs w:val="22"/>
        </w:rPr>
        <w:t xml:space="preserve">Hài lòng: </w:t>
      </w:r>
      <w:r>
        <w:rPr>
          <w:rFonts w:ascii="Arial" w:cs="Arial" w:eastAsia="Arial" w:hAnsi="Arial"/>
          <w:sz w:val="22"/>
          <w:szCs w:val="22"/>
        </w:rPr>
        <w:t xml:space="preserve">có xác nhận xanh lá rõ ràng nên bệnh nhân yên tâm là đã ghi nhận xong.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Arial" w:cs="Arial" w:eastAsia="Arial" w:hAnsi="Arial"/>
      <w:b/>
      <w:bCs/>
      <w:color w:val="16222E"/>
      <w:sz w:val="28"/>
      <w:szCs w:val="28"/>
    </w:rPr>
  </w:style>
  <w:style w:type="paragraph" w:styleId="Heading2">
    <w:name w:val="Heading 2"/>
    <w:basedOn w:val="Normal"/>
    <w:next w:val="Normal"/>
    <w:qFormat/>
    <w:pPr>
      <w:keepNext/>
      <w:spacing w:after="100" w:before="200"/>
      <w:outlineLvl w:val="1"/>
    </w:pPr>
    <w:rPr>
      <w:rFonts w:ascii="Arial" w:cs="Arial" w:eastAsia="Arial" w:hAnsi="Arial"/>
      <w:b/>
      <w:bCs/>
      <w:color w:val="1C4E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13ff680aa730bc3f50d3e4be192d2e7680999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hành thiết kế tính năng Nhắc uống thuốc RikkeiCare</dc:title>
  <dc:creator>RikkeiCare</dc:creator>
  <cp:lastModifiedBy>Un-named</cp:lastModifiedBy>
  <cp:revision>1</cp:revision>
  <dcterms:created xsi:type="dcterms:W3CDTF">2026-09-21T04:39:57.799Z</dcterms:created>
  <dcterms:modified xsi:type="dcterms:W3CDTF">2026-09-21T04:39:57.808Z</dcterms:modified>
</cp:coreProperties>
</file>

<file path=docProps/custom.xml><?xml version="1.0" encoding="utf-8"?>
<Properties xmlns="http://schemas.openxmlformats.org/officeDocument/2006/custom-properties" xmlns:vt="http://schemas.openxmlformats.org/officeDocument/2006/docPropsVTypes"/>
</file>