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BT1</w:t>
        <w:br/>
        <w:t>CHUẨN HÓA KHẢO SÁT HIỆN TRẠNG &amp; ĐẶC TẢ YÊU CẦU</w:t>
        <w:br/>
        <w:t>HỆ THỐNG KHO DƯỢC RIKKEICARE</w:t>
      </w:r>
    </w:p>
    <w:p>
      <w:r>
        <w:rPr>
          <w:b/>
        </w:rPr>
        <w:t>Phần 1 - Bóc tách lỗi sai nghiệp vụ (Sửa lỗi)</w:t>
      </w:r>
    </w:p>
    <w:p>
      <w:r>
        <w:rPr>
          <w:b/>
        </w:rPr>
        <w:t>1. Môi trường hệ thống</w:t>
      </w:r>
    </w:p>
    <w:p>
      <w:r>
        <w:t>Nguyên nhân sai: Thông tư quản lý thuốc gây nghiện của Bộ Y tế là quy định pháp luật từ bên ngoài tổ chức, RikkeiCare không thể kiểm soát trực tiếp nên thuộc Môi trường Bên ngoài.</w:t>
      </w:r>
    </w:p>
    <w:p>
      <w:r>
        <w:t>Hậu quả: Nếu xem đây là môi trường nội bộ, hệ thống có thể áp dụng sai quy định pháp lý, dẫn đến vi phạm quy chuẩn và chế tài xử phạt.</w:t>
      </w:r>
    </w:p>
    <w:p>
      <w:r>
        <w:rPr>
          <w:b/>
        </w:rPr>
        <w:t>2. Khảo sát quy trình AS-IS</w:t>
      </w:r>
    </w:p>
    <w:p>
      <w:r>
        <w:t>Nguyên nhân sai: Nhận định dựa trên giả định dược sĩ luôn nhớ chính xác hạn dùng và bỏ qua bằng chứng thực tế là đã có bệnh nhân khiếu nại nhận thuốc quá hạn.</w:t>
      </w:r>
    </w:p>
    <w:p>
      <w:r>
        <w:t>Hậu quả: Nếu không phản ánh đúng AS-IS, hệ thống có thể thiếu cơ chế kiểm tra hạn dùng, làm tăng nguy cơ xuất thuốc quá hạn và ảnh hưởng an toàn người bệnh.</w:t>
      </w:r>
    </w:p>
    <w:p>
      <w:r>
        <w:rPr>
          <w:b/>
        </w:rPr>
        <w:t>3. Phân loại yêu cầu</w:t>
      </w:r>
    </w:p>
    <w:p>
      <w:r>
        <w:t>Nguyên nhân sai: “Tự động khóa các lô thuốc hết hạn sử dụng” mô tả một hành động hệ thống phải thực hiện nên là Yêu cầu Chức năng (FR), không phải NFR.</w:t>
      </w:r>
    </w:p>
    <w:p>
      <w:r>
        <w:t>Hậu quả: Nếu phân loại sai, đội thiết kế có thể bỏ sót chức năng kiểm soát hạn dùng quan trọng và không đáp ứng nghiệp vụ kho dược.</w:t>
      </w:r>
    </w:p>
    <w:p>
      <w:r>
        <w:rPr>
          <w:b/>
        </w:rPr>
        <w:t>Phần 2 - Bảng Phân loại Môi trường &amp; Yêu cầu</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sz w:val="21"/>
              </w:rPr>
              <w:t>Yếu tố khảo sát tại Kho Dược</w:t>
            </w:r>
          </w:p>
        </w:tc>
        <w:tc>
          <w:tcPr>
            <w:tcW w:type="dxa" w:w="3312"/>
          </w:tcPr>
          <w:p>
            <w:r>
              <w:rPr>
                <w:rFonts w:ascii="Times New Roman" w:hAnsi="Times New Roman"/>
                <w:sz w:val="21"/>
              </w:rPr>
              <w:t>Thuộc loại Môi trường</w:t>
            </w:r>
          </w:p>
        </w:tc>
        <w:tc>
          <w:tcPr>
            <w:tcW w:type="dxa" w:w="3312"/>
          </w:tcPr>
          <w:p>
            <w:r>
              <w:rPr>
                <w:rFonts w:ascii="Times New Roman" w:hAnsi="Times New Roman"/>
                <w:sz w:val="21"/>
              </w:rPr>
              <w:t>Tác động trực tiếp đến phần mềm</w:t>
            </w:r>
          </w:p>
        </w:tc>
      </w:tr>
      <w:tr>
        <w:tc>
          <w:tcPr>
            <w:tcW w:type="dxa" w:w="3312"/>
            <w:vAlign w:val="center"/>
          </w:tcPr>
          <w:p>
            <w:r>
              <w:rPr>
                <w:rFonts w:ascii="Times New Roman" w:hAnsi="Times New Roman"/>
                <w:sz w:val="21"/>
              </w:rPr>
              <w:t>Kỹ năng vi tính &amp; thói quen ghi sổ của Dược sĩ</w:t>
            </w:r>
          </w:p>
        </w:tc>
        <w:tc>
          <w:tcPr>
            <w:tcW w:type="dxa" w:w="3312"/>
            <w:vAlign w:val="center"/>
          </w:tcPr>
          <w:p>
            <w:r>
              <w:rPr>
                <w:rFonts w:ascii="Times New Roman" w:hAnsi="Times New Roman"/>
                <w:sz w:val="21"/>
              </w:rPr>
              <w:t>Môi trường Nội bộ</w:t>
            </w:r>
          </w:p>
        </w:tc>
        <w:tc>
          <w:tcPr>
            <w:tcW w:type="dxa" w:w="3312"/>
            <w:vAlign w:val="center"/>
          </w:tcPr>
          <w:p>
            <w:r>
              <w:rPr>
                <w:rFonts w:ascii="Times New Roman" w:hAnsi="Times New Roman"/>
                <w:sz w:val="21"/>
              </w:rPr>
              <w:t>Cần giao diện tối giản, hỗ trợ quét mã vạch.</w:t>
            </w:r>
          </w:p>
        </w:tc>
      </w:tr>
      <w:tr>
        <w:tc>
          <w:tcPr>
            <w:tcW w:type="dxa" w:w="3312"/>
            <w:vAlign w:val="center"/>
          </w:tcPr>
          <w:p>
            <w:r>
              <w:rPr>
                <w:rFonts w:ascii="Times New Roman" w:hAnsi="Times New Roman"/>
                <w:sz w:val="21"/>
              </w:rPr>
              <w:t>Thông tư &amp; Chế tài xử phạt của Bộ Y tế</w:t>
            </w:r>
          </w:p>
        </w:tc>
        <w:tc>
          <w:tcPr>
            <w:tcW w:type="dxa" w:w="3312"/>
            <w:vAlign w:val="center"/>
          </w:tcPr>
          <w:p>
            <w:r>
              <w:rPr>
                <w:rFonts w:ascii="Times New Roman" w:hAnsi="Times New Roman"/>
                <w:sz w:val="21"/>
              </w:rPr>
              <w:t>Môi trường Bên ngoài</w:t>
            </w:r>
          </w:p>
        </w:tc>
        <w:tc>
          <w:tcPr>
            <w:tcW w:type="dxa" w:w="3312"/>
            <w:vAlign w:val="center"/>
          </w:tcPr>
          <w:p>
            <w:r>
              <w:rPr>
                <w:rFonts w:ascii="Times New Roman" w:hAnsi="Times New Roman"/>
                <w:sz w:val="21"/>
              </w:rPr>
              <w:t>Bắt buộc khóa tự động thuốc hết hạn, lưu audit log.</w:t>
            </w:r>
          </w:p>
        </w:tc>
      </w:tr>
      <w:tr>
        <w:tc>
          <w:tcPr>
            <w:tcW w:type="dxa" w:w="3312"/>
            <w:vAlign w:val="center"/>
          </w:tcPr>
          <w:p>
            <w:r>
              <w:rPr>
                <w:rFonts w:ascii="Times New Roman" w:hAnsi="Times New Roman"/>
                <w:sz w:val="21"/>
              </w:rPr>
              <w:t>Hạ tầng máy chủ và mạng LAN nội bộ bệnh viện</w:t>
            </w:r>
          </w:p>
        </w:tc>
        <w:tc>
          <w:tcPr>
            <w:tcW w:type="dxa" w:w="3312"/>
            <w:vAlign w:val="center"/>
          </w:tcPr>
          <w:p>
            <w:r>
              <w:rPr>
                <w:rFonts w:ascii="Times New Roman" w:hAnsi="Times New Roman"/>
                <w:sz w:val="21"/>
              </w:rPr>
              <w:t>Môi trường Nội bộ</w:t>
            </w:r>
          </w:p>
        </w:tc>
        <w:tc>
          <w:tcPr>
            <w:tcW w:type="dxa" w:w="3312"/>
            <w:vAlign w:val="center"/>
          </w:tcPr>
          <w:p>
            <w:r>
              <w:rPr>
                <w:rFonts w:ascii="Times New Roman" w:hAnsi="Times New Roman"/>
                <w:sz w:val="21"/>
              </w:rPr>
              <w:t>Cần cơ chế kiểm tra trạng thái kết nối, phân quyền quản trị và bảo đảm hệ thống vẫn kiểm soát xuất kho; với thuốc RESTRICTED phải hỗ trợ xác nhận kép (Dual-Authorization) từ Dược sĩ Trưởng khoa Dược, không cho một nhân viên tự xuất kho.</w:t>
            </w:r>
          </w:p>
        </w:tc>
      </w:tr>
    </w:tbl>
    <w:p>
      <w:r>
        <w:rPr>
          <w:b/>
        </w:rPr>
        <w:t>Phần 3 - Yêu cầu hệ thống</w:t>
      </w:r>
    </w:p>
    <w:p>
      <w:r>
        <w:t>FR (Yêu cầu Chức năng): Hệ thống phải tự động khóa các lô thuốc đã hết hạn và không cho phép tạo phiếu xuất kho đối với các lô này.</w:t>
      </w:r>
    </w:p>
    <w:p>
      <w:r>
        <w:t>NFR (Yêu cầu Phi chức năng): Hệ thống phải bảo mật và ghi nhận đầy đủ nhật ký audit đối với các thao tác nhập, xuất, sửa và xác nhận thuốc; các thao tác với thuốc RESTRICTED phải yêu cầu xác nhận kép từ Dược sĩ Trưởng khoa Dược.</w:t>
      </w:r>
    </w:p>
    <w:p>
      <w:r>
        <w:rPr>
          <w:b/>
        </w:rPr>
        <w:t>Kết luận</w:t>
      </w:r>
    </w:p>
    <w:p>
      <w:r>
        <w:t>Tài liệu khảo sát sau khi chỉnh sửa đã phân biệt đúng môi trường nội bộ và bên ngoài, phản ánh đúng rủi ro thực tế của quy trình AS-IS, đồng thời phân loại đúng FR/NFR. Đặc biệt, thuốc RESTRICTED được xử lý bằng cơ chế Dual-Authorization nhằm hạn chế việc một nhân viên tự ý xuất kho thuốc kiểm soát đặc biệt.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