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BT2</w:t>
        <w:br/>
        <w:t>MA TRẬN STAKEHOLDER &amp; GIẢI QUYẾT XUNG ĐỘT</w:t>
        <w:br/>
        <w:t>BẢO MẬT HỒ SƠ EHR RIKKEICARE</w:t>
      </w:r>
    </w:p>
    <w:p>
      <w:r>
        <w:rPr>
          <w:b/>
        </w:rPr>
        <w:t>Phần 1 - Thanh lọc danh sách &amp; Loại bỏ thực thể kỹ thuật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1"/>
              </w:rPr>
              <w:t>Đối tượng khảo sát</w:t>
            </w:r>
          </w:p>
        </w:tc>
        <w:tc>
          <w:tcPr>
            <w:tcW w:type="dxa" w:w="3312"/>
          </w:tcPr>
          <w:p>
            <w:r>
              <w:rPr>
                <w:rFonts w:ascii="Times New Roman" w:hAnsi="Times New Roman"/>
                <w:sz w:val="21"/>
              </w:rPr>
              <w:t>Phân loại</w:t>
            </w:r>
          </w:p>
        </w:tc>
        <w:tc>
          <w:tcPr>
            <w:tcW w:type="dxa" w:w="3312"/>
          </w:tcPr>
          <w:p>
            <w:r>
              <w:rPr>
                <w:rFonts w:ascii="Times New Roman" w:hAnsi="Times New Roman"/>
                <w:sz w:val="21"/>
              </w:rPr>
              <w:t>Kết luận</w:t>
            </w:r>
          </w:p>
        </w:tc>
      </w:tr>
      <w:tr>
        <w:tc>
          <w:tcPr>
            <w:tcW w:type="dxa" w:w="3312"/>
            <w:vAlign w:val="center"/>
          </w:tcPr>
          <w:p>
            <w:r>
              <w:rPr>
                <w:rFonts w:ascii="Times New Roman" w:hAnsi="Times New Roman"/>
                <w:sz w:val="21"/>
              </w:rPr>
              <w:t>1. Bác sĩ điều trị trực tiếp</w:t>
            </w:r>
          </w:p>
        </w:tc>
        <w:tc>
          <w:tcPr>
            <w:tcW w:type="dxa" w:w="3312"/>
            <w:vAlign w:val="center"/>
          </w:tcPr>
          <w:p>
            <w:r>
              <w:rPr>
                <w:rFonts w:ascii="Times New Roman" w:hAnsi="Times New Roman"/>
                <w:sz w:val="21"/>
              </w:rPr>
              <w:t>Stakeholder</w:t>
            </w:r>
          </w:p>
        </w:tc>
        <w:tc>
          <w:tcPr>
            <w:tcW w:type="dxa" w:w="3312"/>
            <w:vAlign w:val="center"/>
          </w:tcPr>
          <w:p>
            <w:r>
              <w:rPr>
                <w:rFonts w:ascii="Times New Roman" w:hAnsi="Times New Roman"/>
                <w:sz w:val="21"/>
              </w:rPr>
              <w:t>Giữ lại – là người trực tiếp sử dụng EHR và chịu ảnh hưởng bởi quyền truy cập hồ sơ bệnh án.</w:t>
            </w:r>
          </w:p>
        </w:tc>
      </w:tr>
      <w:tr>
        <w:tc>
          <w:tcPr>
            <w:tcW w:type="dxa" w:w="3312"/>
            <w:vAlign w:val="center"/>
          </w:tcPr>
          <w:p>
            <w:r>
              <w:rPr>
                <w:rFonts w:ascii="Times New Roman" w:hAnsi="Times New Roman"/>
                <w:sz w:val="21"/>
              </w:rPr>
              <w:t>2. Máy chủ cơ sở dữ liệu Oracle</w:t>
            </w:r>
          </w:p>
        </w:tc>
        <w:tc>
          <w:tcPr>
            <w:tcW w:type="dxa" w:w="3312"/>
            <w:vAlign w:val="center"/>
          </w:tcPr>
          <w:p>
            <w:r>
              <w:rPr>
                <w:rFonts w:ascii="Times New Roman" w:hAnsi="Times New Roman"/>
                <w:sz w:val="21"/>
              </w:rPr>
              <w:t>Thực thể kỹ thuật</w:t>
            </w:r>
          </w:p>
        </w:tc>
        <w:tc>
          <w:tcPr>
            <w:tcW w:type="dxa" w:w="3312"/>
            <w:vAlign w:val="center"/>
          </w:tcPr>
          <w:p>
            <w:r>
              <w:rPr>
                <w:rFonts w:ascii="Times New Roman" w:hAnsi="Times New Roman"/>
                <w:sz w:val="21"/>
              </w:rPr>
              <w:t>Loại bỏ khỏi danh sách Stakeholder – là phần cứng/hệ thống kỹ thuật, không phải cá nhân, nhóm người hoặc tổ chức.</w:t>
            </w:r>
          </w:p>
        </w:tc>
      </w:tr>
      <w:tr>
        <w:tc>
          <w:tcPr>
            <w:tcW w:type="dxa" w:w="3312"/>
            <w:vAlign w:val="center"/>
          </w:tcPr>
          <w:p>
            <w:r>
              <w:rPr>
                <w:rFonts w:ascii="Times New Roman" w:hAnsi="Times New Roman"/>
                <w:sz w:val="21"/>
              </w:rPr>
              <w:t>3. Ban Giám đốc Bệnh viện RikkeiCare</w:t>
            </w:r>
          </w:p>
        </w:tc>
        <w:tc>
          <w:tcPr>
            <w:tcW w:type="dxa" w:w="3312"/>
            <w:vAlign w:val="center"/>
          </w:tcPr>
          <w:p>
            <w:r>
              <w:rPr>
                <w:rFonts w:ascii="Times New Roman" w:hAnsi="Times New Roman"/>
                <w:sz w:val="21"/>
              </w:rPr>
              <w:t>Stakeholder</w:t>
            </w:r>
          </w:p>
        </w:tc>
        <w:tc>
          <w:tcPr>
            <w:tcW w:type="dxa" w:w="3312"/>
            <w:vAlign w:val="center"/>
          </w:tcPr>
          <w:p>
            <w:r>
              <w:rPr>
                <w:rFonts w:ascii="Times New Roman" w:hAnsi="Times New Roman"/>
                <w:sz w:val="21"/>
              </w:rPr>
              <w:t>Giữ lại – có quyền lực cao và chịu trách nhiệm quản lý, ra quyết định đối với dự án.</w:t>
            </w:r>
          </w:p>
        </w:tc>
      </w:tr>
      <w:tr>
        <w:tc>
          <w:tcPr>
            <w:tcW w:type="dxa" w:w="3312"/>
            <w:vAlign w:val="center"/>
          </w:tcPr>
          <w:p>
            <w:r>
              <w:rPr>
                <w:rFonts w:ascii="Times New Roman" w:hAnsi="Times New Roman"/>
                <w:sz w:val="21"/>
              </w:rPr>
              <w:t>4. Bệnh nhân và Thân nhân người bệnh</w:t>
            </w:r>
          </w:p>
        </w:tc>
        <w:tc>
          <w:tcPr>
            <w:tcW w:type="dxa" w:w="3312"/>
            <w:vAlign w:val="center"/>
          </w:tcPr>
          <w:p>
            <w:r>
              <w:rPr>
                <w:rFonts w:ascii="Times New Roman" w:hAnsi="Times New Roman"/>
                <w:sz w:val="21"/>
              </w:rPr>
              <w:t>Stakeholder</w:t>
            </w:r>
          </w:p>
        </w:tc>
        <w:tc>
          <w:tcPr>
            <w:tcW w:type="dxa" w:w="3312"/>
            <w:vAlign w:val="center"/>
          </w:tcPr>
          <w:p>
            <w:r>
              <w:rPr>
                <w:rFonts w:ascii="Times New Roman" w:hAnsi="Times New Roman"/>
                <w:sz w:val="21"/>
              </w:rPr>
              <w:t>Giữ lại – là đối tượng sử dụng/chịu ảnh hưởng trực tiếp bởi dữ liệu EHR và quyền riêng tư.</w:t>
            </w:r>
          </w:p>
        </w:tc>
      </w:tr>
      <w:tr>
        <w:tc>
          <w:tcPr>
            <w:tcW w:type="dxa" w:w="3312"/>
            <w:vAlign w:val="center"/>
          </w:tcPr>
          <w:p>
            <w:r>
              <w:rPr>
                <w:rFonts w:ascii="Times New Roman" w:hAnsi="Times New Roman"/>
                <w:sz w:val="21"/>
              </w:rPr>
              <w:t>5. Thanh tra Pháp chế &amp; Bảo mật Y tế (Bộ Y tế)</w:t>
            </w:r>
          </w:p>
        </w:tc>
        <w:tc>
          <w:tcPr>
            <w:tcW w:type="dxa" w:w="3312"/>
            <w:vAlign w:val="center"/>
          </w:tcPr>
          <w:p>
            <w:r>
              <w:rPr>
                <w:rFonts w:ascii="Times New Roman" w:hAnsi="Times New Roman"/>
                <w:sz w:val="21"/>
              </w:rPr>
              <w:t>Stakeholder</w:t>
            </w:r>
          </w:p>
        </w:tc>
        <w:tc>
          <w:tcPr>
            <w:tcW w:type="dxa" w:w="3312"/>
            <w:vAlign w:val="center"/>
          </w:tcPr>
          <w:p>
            <w:r>
              <w:rPr>
                <w:rFonts w:ascii="Times New Roman" w:hAnsi="Times New Roman"/>
                <w:sz w:val="21"/>
              </w:rPr>
              <w:t>Giữ lại – là nhóm/tổ chức bên ngoài có vai trò pháp lý, giám sát tuân thủ và bảo mật y tế.</w:t>
            </w:r>
          </w:p>
        </w:tc>
      </w:tr>
    </w:tbl>
    <w:p>
      <w:r>
        <w:rPr>
          <w:b/>
        </w:rPr>
        <w:t xml:space="preserve">Lưu ý: </w:t>
      </w:r>
      <w:r>
        <w:t>Máy chủ Oracle có thể là tài sản kỹ thuật quan trọng nhưng không vì giá trị cao mà trở thành Stakeholder. Stakeholder phải là cá nhân, nhóm người hoặc tổ chức có quyền lợi, vai trò hoặc chịu ảnh hưởng bởi hệ thống.</w:t>
      </w:r>
    </w:p>
    <w:p>
      <w:r>
        <w:rPr>
          <w:b/>
        </w:rPr>
        <w:t>Phần 2 - Ma trận Stakeholder 4 ô</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sz w:val="21"/>
              </w:rPr>
              <w:t>Nhóm chiến lược</w:t>
            </w:r>
          </w:p>
        </w:tc>
        <w:tc>
          <w:tcPr>
            <w:tcW w:type="dxa" w:w="2484"/>
          </w:tcPr>
          <w:p>
            <w:r>
              <w:rPr>
                <w:rFonts w:ascii="Times New Roman" w:hAnsi="Times New Roman"/>
                <w:sz w:val="21"/>
              </w:rPr>
              <w:t>Tiêu chí</w:t>
            </w:r>
          </w:p>
        </w:tc>
        <w:tc>
          <w:tcPr>
            <w:tcW w:type="dxa" w:w="2484"/>
          </w:tcPr>
          <w:p>
            <w:r>
              <w:rPr>
                <w:rFonts w:ascii="Times New Roman" w:hAnsi="Times New Roman"/>
                <w:sz w:val="21"/>
              </w:rPr>
              <w:t>Stakeholder</w:t>
            </w:r>
          </w:p>
        </w:tc>
        <w:tc>
          <w:tcPr>
            <w:tcW w:type="dxa" w:w="2484"/>
          </w:tcPr>
          <w:p>
            <w:r>
              <w:rPr>
                <w:rFonts w:ascii="Times New Roman" w:hAnsi="Times New Roman"/>
                <w:sz w:val="21"/>
              </w:rPr>
              <w:t>Hành động tương tác chủ chốt</w:t>
            </w:r>
          </w:p>
        </w:tc>
      </w:tr>
      <w:tr>
        <w:tc>
          <w:tcPr>
            <w:tcW w:type="dxa" w:w="2484"/>
            <w:vAlign w:val="center"/>
          </w:tcPr>
          <w:p>
            <w:r>
              <w:rPr>
                <w:rFonts w:ascii="Times New Roman" w:hAnsi="Times New Roman"/>
                <w:sz w:val="21"/>
              </w:rPr>
              <w:t>Quản lý chặt chẽ (Manage Closely)</w:t>
            </w:r>
          </w:p>
        </w:tc>
        <w:tc>
          <w:tcPr>
            <w:tcW w:type="dxa" w:w="2484"/>
            <w:vAlign w:val="center"/>
          </w:tcPr>
          <w:p>
            <w:r>
              <w:rPr>
                <w:rFonts w:ascii="Times New Roman" w:hAnsi="Times New Roman"/>
                <w:sz w:val="21"/>
              </w:rPr>
              <w:t>Quyền lực Cao - Quan tâm Cao</w:t>
            </w:r>
          </w:p>
        </w:tc>
        <w:tc>
          <w:tcPr>
            <w:tcW w:type="dxa" w:w="2484"/>
            <w:vAlign w:val="center"/>
          </w:tcPr>
          <w:p>
            <w:r>
              <w:rPr>
                <w:rFonts w:ascii="Times New Roman" w:hAnsi="Times New Roman"/>
                <w:sz w:val="21"/>
              </w:rPr>
              <w:t>Ban Giám đốc Bệnh viện</w:t>
            </w:r>
          </w:p>
        </w:tc>
        <w:tc>
          <w:tcPr>
            <w:tcW w:type="dxa" w:w="2484"/>
            <w:vAlign w:val="center"/>
          </w:tcPr>
          <w:p>
            <w:r>
              <w:rPr>
                <w:rFonts w:ascii="Times New Roman" w:hAnsi="Times New Roman"/>
                <w:sz w:val="21"/>
              </w:rPr>
              <w:t>Báo cáo tiến độ trực tiếp, tham gia mọi quyết định lớn.</w:t>
            </w:r>
          </w:p>
        </w:tc>
      </w:tr>
      <w:tr>
        <w:tc>
          <w:tcPr>
            <w:tcW w:type="dxa" w:w="2484"/>
            <w:vAlign w:val="center"/>
          </w:tcPr>
          <w:p>
            <w:r>
              <w:rPr>
                <w:rFonts w:ascii="Times New Roman" w:hAnsi="Times New Roman"/>
                <w:sz w:val="21"/>
              </w:rPr>
              <w:t>Giữ hài lòng (Keep Satisfied)</w:t>
            </w:r>
          </w:p>
        </w:tc>
        <w:tc>
          <w:tcPr>
            <w:tcW w:type="dxa" w:w="2484"/>
            <w:vAlign w:val="center"/>
          </w:tcPr>
          <w:p>
            <w:r>
              <w:rPr>
                <w:rFonts w:ascii="Times New Roman" w:hAnsi="Times New Roman"/>
                <w:sz w:val="21"/>
              </w:rPr>
              <w:t>Quyền lực Cao - Quan tâm Thấp</w:t>
            </w:r>
          </w:p>
        </w:tc>
        <w:tc>
          <w:tcPr>
            <w:tcW w:type="dxa" w:w="2484"/>
            <w:vAlign w:val="center"/>
          </w:tcPr>
          <w:p>
            <w:r>
              <w:rPr>
                <w:rFonts w:ascii="Times New Roman" w:hAnsi="Times New Roman"/>
                <w:sz w:val="21"/>
              </w:rPr>
              <w:t>Thanh tra Pháp chế &amp; Bảo mật Y tế (Bộ Y tế)</w:t>
            </w:r>
          </w:p>
        </w:tc>
        <w:tc>
          <w:tcPr>
            <w:tcW w:type="dxa" w:w="2484"/>
            <w:vAlign w:val="center"/>
          </w:tcPr>
          <w:p>
            <w:r>
              <w:rPr>
                <w:rFonts w:ascii="Times New Roman" w:hAnsi="Times New Roman"/>
                <w:sz w:val="21"/>
              </w:rPr>
              <w:t>Cập nhật các vấn đề tuân thủ quan trọng, cung cấp báo cáo và bằng chứng audit khi cần.</w:t>
            </w:r>
          </w:p>
        </w:tc>
      </w:tr>
      <w:tr>
        <w:tc>
          <w:tcPr>
            <w:tcW w:type="dxa" w:w="2484"/>
            <w:vAlign w:val="center"/>
          </w:tcPr>
          <w:p>
            <w:r>
              <w:rPr>
                <w:rFonts w:ascii="Times New Roman" w:hAnsi="Times New Roman"/>
                <w:sz w:val="21"/>
              </w:rPr>
              <w:t>Giữ thông tin (Keep Informed)</w:t>
            </w:r>
          </w:p>
        </w:tc>
        <w:tc>
          <w:tcPr>
            <w:tcW w:type="dxa" w:w="2484"/>
            <w:vAlign w:val="center"/>
          </w:tcPr>
          <w:p>
            <w:r>
              <w:rPr>
                <w:rFonts w:ascii="Times New Roman" w:hAnsi="Times New Roman"/>
                <w:sz w:val="21"/>
              </w:rPr>
              <w:t>Quyền lực Thấp - Quan tâm Cao</w:t>
            </w:r>
          </w:p>
        </w:tc>
        <w:tc>
          <w:tcPr>
            <w:tcW w:type="dxa" w:w="2484"/>
            <w:vAlign w:val="center"/>
          </w:tcPr>
          <w:p>
            <w:r>
              <w:rPr>
                <w:rFonts w:ascii="Times New Roman" w:hAnsi="Times New Roman"/>
                <w:sz w:val="21"/>
              </w:rPr>
              <w:t>Bác sĩ điều trị trực tiếp</w:t>
            </w:r>
          </w:p>
        </w:tc>
        <w:tc>
          <w:tcPr>
            <w:tcW w:type="dxa" w:w="2484"/>
            <w:vAlign w:val="center"/>
          </w:tcPr>
          <w:p>
            <w:r>
              <w:rPr>
                <w:rFonts w:ascii="Times New Roman" w:hAnsi="Times New Roman"/>
                <w:sz w:val="21"/>
              </w:rPr>
              <w:t>Cập nhật thường xuyên về chức năng EHR, lấy phản hồi về quy trình và quyền truy cập hồ sơ.</w:t>
            </w:r>
          </w:p>
        </w:tc>
      </w:tr>
      <w:tr>
        <w:tc>
          <w:tcPr>
            <w:tcW w:type="dxa" w:w="2484"/>
            <w:vAlign w:val="center"/>
          </w:tcPr>
          <w:p>
            <w:r>
              <w:rPr>
                <w:rFonts w:ascii="Times New Roman" w:hAnsi="Times New Roman"/>
                <w:sz w:val="21"/>
              </w:rPr>
              <w:t>Giám sát tối thiểu (Monitor)</w:t>
            </w:r>
          </w:p>
        </w:tc>
        <w:tc>
          <w:tcPr>
            <w:tcW w:type="dxa" w:w="2484"/>
            <w:vAlign w:val="center"/>
          </w:tcPr>
          <w:p>
            <w:r>
              <w:rPr>
                <w:rFonts w:ascii="Times New Roman" w:hAnsi="Times New Roman"/>
                <w:sz w:val="21"/>
              </w:rPr>
              <w:t>Quyền lực Thấp - Quan tâm Thấp</w:t>
            </w:r>
          </w:p>
        </w:tc>
        <w:tc>
          <w:tcPr>
            <w:tcW w:type="dxa" w:w="2484"/>
            <w:vAlign w:val="center"/>
          </w:tcPr>
          <w:p>
            <w:r>
              <w:rPr>
                <w:rFonts w:ascii="Times New Roman" w:hAnsi="Times New Roman"/>
                <w:sz w:val="21"/>
              </w:rPr>
              <w:t>Bệnh nhân và Thân nhân (nói chung, ở cấp độ quản trị dự án)</w:t>
            </w:r>
          </w:p>
        </w:tc>
        <w:tc>
          <w:tcPr>
            <w:tcW w:type="dxa" w:w="2484"/>
            <w:vAlign w:val="center"/>
          </w:tcPr>
          <w:p>
            <w:r>
              <w:rPr>
                <w:rFonts w:ascii="Times New Roman" w:hAnsi="Times New Roman"/>
                <w:sz w:val="21"/>
              </w:rPr>
              <w:t>Thông báo định kỳ qua email/app, không cần họp riêng.</w:t>
            </w:r>
          </w:p>
        </w:tc>
      </w:tr>
    </w:tbl>
    <w:p>
      <w:r>
        <w:rPr>
          <w:b/>
        </w:rPr>
        <w:t>Phần 3 - Giải quyết xung đột Privacy vs Convenience</w:t>
      </w:r>
    </w:p>
    <w:p>
      <w:r>
        <w:t>Giải pháp dung hòa: Áp dụng nguyên tắc truy cập theo vai trò và Consent đối với thông tin nhạy cảm, nhưng cho phép bác sĩ sử dụng Emergency Override khi bệnh nhân hôn mê hoặc bất tỉnh không thể cung cấp mã xác nhận; mọi lần Override phải được ghi đầy đủ vào audit log, kèm người thực hiện, thời gian và lý do truy cập để vừa bảo đảm cấp cứu kịp thời vừa kiểm soát được trách nhiệm và bảo mật.</w:t>
      </w:r>
    </w:p>
    <w:p>
      <w:r>
        <w:rPr>
          <w:b/>
        </w:rPr>
        <w:t>Kết luận</w:t>
      </w:r>
    </w:p>
    <w:p>
      <w:r>
        <w:t>Danh sách Stakeholder đã được thanh lọc, loại bỏ máy chủ cơ sở dữ liệu Oracle khỏi nhóm Stakeholder. Ma trận Power-Interest được hoàn thiện theo đúng bốn chiến lược. Giải pháp Emergency Override giúp cân bằng yêu cầu thuận tiện của bác sĩ với yêu cầu bảo mật và tuân thủ pháp lý, đặc biệt trong tình huống bệnh nhân cấp cứu không thể xác nhận.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