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BT1 – CHUẨN HÓA ACCEPTANCE CRITERIA THEO GIVEN-WHEN-THEN</w:t>
      </w:r>
    </w:p>
    <w:p>
      <w:pPr>
        <w:spacing w:after="200"/>
        <w:jc w:val="center"/>
      </w:pPr>
      <w:r>
        <w:rPr>
          <w:rFonts w:ascii="Arial" w:cs="Arial" w:eastAsia="Arial" w:hAnsi="Arial"/>
          <w:i/>
          <w:iCs/>
          <w:sz w:val="21"/>
          <w:szCs w:val="21"/>
        </w:rPr>
        <w:t xml:space="preserve">Sửa lỗi AC cho chức năng áp mã khuyến mãi – RikkeiGo</w:t>
      </w:r>
    </w:p>
    <w:p>
      <w:pPr>
        <w:spacing w:after="100"/>
      </w:pPr>
      <w:r>
        <w:rPr>
          <w:rFonts w:ascii="Arial" w:cs="Arial" w:eastAsia="Arial" w:hAnsi="Arial"/>
          <w:b/>
          <w:bCs/>
          <w:sz w:val="21"/>
          <w:szCs w:val="21"/>
        </w:rPr>
        <w:t xml:space="preserve">Story: </w:t>
      </w:r>
      <w:r>
        <w:rPr>
          <w:rFonts w:ascii="Arial" w:cs="Arial" w:eastAsia="Arial" w:hAnsi="Arial"/>
          <w:sz w:val="21"/>
          <w:szCs w:val="21"/>
        </w:rPr>
        <w:t xml:space="preserve">Là một Khách hàng, tôi muốn áp mã khuyến mãi khi đặt xe, để trả ít tiền hơn.</w:t>
      </w:r>
    </w:p>
    <w:p>
      <w:pPr>
        <w:spacing w:after="100"/>
      </w:pPr>
      <w:r>
        <w:rPr>
          <w:rFonts w:ascii="Arial" w:cs="Arial" w:eastAsia="Arial" w:hAnsi="Arial"/>
          <w:b/>
          <w:bCs/>
          <w:sz w:val="21"/>
          <w:szCs w:val="21"/>
        </w:rPr>
        <w:t xml:space="preserve">Người rà soát: </w:t>
      </w:r>
      <w:r>
        <w:rPr>
          <w:rFonts w:ascii="Arial" w:cs="Arial" w:eastAsia="Arial" w:hAnsi="Arial"/>
          <w:sz w:val="21"/>
          <w:szCs w:val="21"/>
        </w:rPr>
        <w:t xml:space="preserve">Vy (Developer phụ trách kiểm thử) – gửi Đức (Product Owner) duyệt.</w:t>
      </w:r>
    </w:p>
    <w:p>
      <w:pPr>
        <w:pStyle w:val="Heading1"/>
        <w:spacing w:after="120" w:before="240"/>
      </w:pPr>
      <w:r>
        <w:rPr>
          <w:rFonts w:ascii="Arial" w:cs="Arial" w:eastAsia="Arial" w:hAnsi="Arial"/>
          <w:b/>
          <w:bCs/>
          <w:sz w:val="26"/>
          <w:szCs w:val="26"/>
        </w:rPr>
        <w:t xml:space="preserve">Phần 1 – Phân tích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700"/>
        <w:gridCol w:w="37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1"/>
                <w:szCs w:val="21"/>
              </w:rPr>
              <w:t xml:space="preserve">AC</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1"/>
                <w:szCs w:val="21"/>
              </w:rPr>
              <w:t xml:space="preserve">Đúng/Sai</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1"/>
                <w:szCs w:val="21"/>
              </w:rPr>
              <w:t xml:space="preserve">Quy tắc bị vi phạm</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1"/>
                <w:szCs w:val="21"/>
              </w:rPr>
              <w:t xml:space="preserve">Hậu quả khi kiểm thử</w:t>
            </w:r>
          </w:p>
        </w:tc>
      </w:tr>
      <w:tr>
        <w:trPr>
          <w:tblHeader w:val="false"/>
        </w:trPr>
        <w:tc>
          <w:tcPr>
            <w:tcW w:type="dxa" w:w="19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AC1</w:t>
            </w:r>
          </w:p>
        </w:tc>
        <w:tc>
          <w:tcPr>
            <w:tcW w:type="dxa" w:w="11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Đúng</w:t>
            </w:r>
          </w:p>
        </w:tc>
        <w:tc>
          <w:tcPr>
            <w:tcW w:type="dxa" w:w="27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Đúng vì Given là trạng thái có sẵn (cước 100.000đ, chưa áp mã; "và" chỉ nối thêm điều kiện), When là đúng một hành động (áp mã GO20) và Then là con số cụ thể (80.000đ).</w:t>
            </w:r>
          </w:p>
        </w:tc>
        <w:tc>
          <w:tcPr>
            <w:tcW w:type="dxa" w:w="37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1"/>
                <w:szCs w:val="21"/>
              </w:rPr>
              <w:t xml:space="preserve">AC2</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1"/>
                <w:szCs w:val="21"/>
              </w:rPr>
              <w:t xml:space="preserve">Sai</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1"/>
                <w:szCs w:val="21"/>
              </w:rPr>
              <w:t xml:space="preserve">(1) When chứa 2 hành động ("áp mã" và "bấm Đặt xe") – vi phạm "When: đúng một hành động" và "mỗi AC một kịch bản".
(2) Then "xử lý phù hợp" mơ hồ, không phải con số/thông báo/trạng thái cụ thể.</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1"/>
                <w:szCs w:val="21"/>
              </w:rPr>
              <w:t xml:space="preserve">Tester không biết kết quả đúng là gì (báo lỗi ngay khi áp mã, hay chặn khi Đặt xe?) nên không thể kết luận Pass/Fail; mỗi người hiểu một kiểu. Khi fail cũng không biết lỗi ở bước áp mã hay bước đặt xe.</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1"/>
                <w:szCs w:val="21"/>
              </w:rPr>
              <w:t xml:space="preserve">AC3</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1"/>
                <w:szCs w:val="21"/>
              </w:rPr>
              <w:t xml:space="preserve">Sai</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1"/>
                <w:szCs w:val="21"/>
              </w:rPr>
              <w:t xml:space="preserve">Given và When bị đảo vai: "khách bấm Áp dụng" là hành động nhưng nằm ở Given; "mã ABC123 không tồn tại" là trạng thái nhưng nằm ở When – vi phạm "Given: trạng thái có sẵn" và "When: một hành động".</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1"/>
                <w:szCs w:val="21"/>
              </w:rPr>
              <w:t xml:space="preserve">Tester không rõ tiền điều kiện cần chuẩn bị và hành động nào cần thực hiện nên khó dựng test case; dễ viết nhầm bước thực hiện, kết quả kiểm thử không nhất quán.</w:t>
            </w:r>
          </w:p>
        </w:tc>
      </w:tr>
      <w:tr>
        <w:trPr>
          <w:tblHeader w:val="false"/>
        </w:trPr>
        <w:tc>
          <w:tcPr>
            <w:tcW w:type="dxa" w:w="19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AC4</w:t>
            </w:r>
          </w:p>
        </w:tc>
        <w:tc>
          <w:tcPr>
            <w:tcW w:type="dxa" w:w="11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Đúng</w:t>
            </w:r>
          </w:p>
        </w:tc>
        <w:tc>
          <w:tcPr>
            <w:tcW w:type="dxa" w:w="27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Trông giống lỗi vì Then có chữ "và" nối 2 kết quả, nhưng quy tắc cho phép "và" nối thêm kết quả trong Then; vẫn chỉ một kịch bản (áp mã thứ hai) với một hành động và kết quả cụ thể (thông báo + cước 80.000đ).</w:t>
            </w:r>
          </w:p>
        </w:tc>
        <w:tc>
          <w:tcPr>
            <w:tcW w:type="dxa" w:w="3700"/>
            <w:tcBorders>
              <w:top w:val="single" w:color="999999" w:sz="4"/>
              <w:left w:val="single" w:color="999999" w:sz="4"/>
              <w:bottom w:val="single" w:color="999999" w:sz="4"/>
              <w:right w:val="single" w:color="999999" w:sz="4"/>
            </w:tcBorders>
            <w:shd w:fill="E2F0D9" w:color="auto" w:val="clear"/>
            <w:tcMar>
              <w:top w:type="dxa" w:w="60"/>
              <w:left w:type="dxa" w:w="90"/>
              <w:bottom w:type="dxa" w:w="60"/>
              <w:right w:type="dxa" w:w="90"/>
            </w:tcMar>
          </w:tcPr>
          <w:p>
            <w:r>
              <w:rPr>
                <w:rFonts w:ascii="Arial" w:cs="Arial" w:eastAsia="Arial" w:hAnsi="Arial"/>
                <w:b w:val="false"/>
                <w:bCs w:val="false"/>
                <w:sz w:val="21"/>
                <w:szCs w:val="21"/>
              </w:rPr>
              <w:t xml:space="preserve">—</w:t>
            </w:r>
          </w:p>
        </w:tc>
      </w:tr>
    </w:tbl>
    <w:p>
      <w:pPr>
        <w:pStyle w:val="Heading1"/>
        <w:spacing w:after="120" w:before="240"/>
      </w:pPr>
      <w:r>
        <w:rPr>
          <w:rFonts w:ascii="Arial" w:cs="Arial" w:eastAsia="Arial" w:hAnsi="Arial"/>
          <w:b/>
          <w:bCs/>
          <w:sz w:val="26"/>
          <w:szCs w:val="26"/>
        </w:rPr>
        <w:t xml:space="preserve">Phần 2 – Sửa lỗi</w:t>
      </w:r>
    </w:p>
    <w:p>
      <w:pPr>
        <w:spacing w:after="100"/>
      </w:pPr>
      <w:r>
        <w:rPr>
          <w:rFonts w:ascii="Arial" w:cs="Arial" w:eastAsia="Arial" w:hAnsi="Arial"/>
          <w:sz w:val="21"/>
          <w:szCs w:val="21"/>
        </w:rPr>
        <w:t xml:space="preserve">AC1 và AC4 đúng nên giữ nguyên, không sửa.</w:t>
      </w:r>
    </w:p>
    <w:p>
      <w:pPr>
        <w:spacing w:after="60" w:before="140"/>
      </w:pPr>
      <w:r>
        <w:rPr>
          <w:rFonts w:ascii="Arial" w:cs="Arial" w:eastAsia="Arial" w:hAnsi="Arial"/>
          <w:b/>
          <w:bCs/>
          <w:sz w:val="21"/>
          <w:szCs w:val="21"/>
        </w:rPr>
        <w:t xml:space="preserve">AC2 (viết lại)</w:t>
      </w:r>
    </w:p>
    <w:p>
      <w:pPr>
        <w:spacing w:after="100"/>
      </w:pPr>
      <w:r>
        <w:rPr>
          <w:rFonts w:ascii="Arial" w:cs="Arial" w:eastAsia="Arial" w:hAnsi="Arial"/>
          <w:b/>
          <w:bCs/>
          <w:sz w:val="21"/>
          <w:szCs w:val="21"/>
        </w:rPr>
        <w:t xml:space="preserve">Given </w:t>
      </w:r>
      <w:r>
        <w:rPr>
          <w:rFonts w:ascii="Arial" w:cs="Arial" w:eastAsia="Arial" w:hAnsi="Arial"/>
          <w:sz w:val="21"/>
          <w:szCs w:val="21"/>
        </w:rPr>
        <w:t xml:space="preserve">mã "GO20" đã hết hạn và cước chuyến là 100.000đ,</w:t>
      </w:r>
    </w:p>
    <w:p>
      <w:pPr>
        <w:spacing w:after="100"/>
      </w:pPr>
      <w:r>
        <w:rPr>
          <w:rFonts w:ascii="Arial" w:cs="Arial" w:eastAsia="Arial" w:hAnsi="Arial"/>
          <w:b/>
          <w:bCs/>
          <w:sz w:val="21"/>
          <w:szCs w:val="21"/>
        </w:rPr>
        <w:t xml:space="preserve">When </w:t>
      </w:r>
      <w:r>
        <w:rPr>
          <w:rFonts w:ascii="Arial" w:cs="Arial" w:eastAsia="Arial" w:hAnsi="Arial"/>
          <w:sz w:val="21"/>
          <w:szCs w:val="21"/>
        </w:rPr>
        <w:t xml:space="preserve">khách áp mã "GO20",</w:t>
      </w:r>
    </w:p>
    <w:p>
      <w:pPr>
        <w:spacing w:after="100"/>
      </w:pPr>
      <w:r>
        <w:rPr>
          <w:rFonts w:ascii="Arial" w:cs="Arial" w:eastAsia="Arial" w:hAnsi="Arial"/>
          <w:b/>
          <w:bCs/>
          <w:sz w:val="21"/>
          <w:szCs w:val="21"/>
        </w:rPr>
        <w:t xml:space="preserve">Then </w:t>
      </w:r>
      <w:r>
        <w:rPr>
          <w:rFonts w:ascii="Arial" w:cs="Arial" w:eastAsia="Arial" w:hAnsi="Arial"/>
          <w:sz w:val="21"/>
          <w:szCs w:val="21"/>
        </w:rPr>
        <w:t xml:space="preserve">hệ thống hiển thị "Mã khuyến mãi đã hết hạn" và cước giữ nguyên 100.000đ.</w:t>
      </w:r>
    </w:p>
    <w:p>
      <w:pPr>
        <w:spacing w:after="100" w:before="100"/>
      </w:pPr>
      <w:r>
        <w:rPr>
          <w:rFonts w:ascii="Arial" w:cs="Arial" w:eastAsia="Arial" w:hAnsi="Arial"/>
          <w:b/>
          <w:bCs/>
          <w:sz w:val="21"/>
          <w:szCs w:val="21"/>
        </w:rPr>
        <w:t xml:space="preserve">Lưu ý gửi Đức: </w:t>
      </w:r>
      <w:r>
        <w:rPr>
          <w:rFonts w:ascii="Arial" w:cs="Arial" w:eastAsia="Arial" w:hAnsi="Arial"/>
          <w:sz w:val="21"/>
          <w:szCs w:val="21"/>
        </w:rPr>
        <w:t xml:space="preserve">nội dung thông báo "Mã khuyến mãi đã hết hạn" là đề xuất của Vy, cần Đức xác nhận câu chữ chính thức. Hành động "bấm Đặt xe" đã được tách khỏi AC2; nếu cần quy định hành vi khi đặt xe (ví dụ chuyến vẫn đặt với cước gốc), Đức bổ sung thành một AC riêng với kết quả cụ thể.</w:t>
      </w:r>
    </w:p>
    <w:p>
      <w:pPr>
        <w:spacing w:after="60" w:before="140"/>
      </w:pPr>
      <w:r>
        <w:rPr>
          <w:rFonts w:ascii="Arial" w:cs="Arial" w:eastAsia="Arial" w:hAnsi="Arial"/>
          <w:b/>
          <w:bCs/>
          <w:sz w:val="21"/>
          <w:szCs w:val="21"/>
        </w:rPr>
        <w:t xml:space="preserve">AC3 (viết lại)</w:t>
      </w:r>
    </w:p>
    <w:p>
      <w:pPr>
        <w:spacing w:after="100"/>
      </w:pPr>
      <w:r>
        <w:rPr>
          <w:rFonts w:ascii="Arial" w:cs="Arial" w:eastAsia="Arial" w:hAnsi="Arial"/>
          <w:b/>
          <w:bCs/>
          <w:sz w:val="21"/>
          <w:szCs w:val="21"/>
        </w:rPr>
        <w:t xml:space="preserve">Given </w:t>
      </w:r>
      <w:r>
        <w:rPr>
          <w:rFonts w:ascii="Arial" w:cs="Arial" w:eastAsia="Arial" w:hAnsi="Arial"/>
          <w:sz w:val="21"/>
          <w:szCs w:val="21"/>
        </w:rPr>
        <w:t xml:space="preserve">khách đã nhập mã "ABC123" (mã không tồn tại trong hệ thống) vào ô mã khuyến mãi,</w:t>
      </w:r>
    </w:p>
    <w:p>
      <w:pPr>
        <w:spacing w:after="100"/>
      </w:pPr>
      <w:r>
        <w:rPr>
          <w:rFonts w:ascii="Arial" w:cs="Arial" w:eastAsia="Arial" w:hAnsi="Arial"/>
          <w:b/>
          <w:bCs/>
          <w:sz w:val="21"/>
          <w:szCs w:val="21"/>
        </w:rPr>
        <w:t xml:space="preserve">When </w:t>
      </w:r>
      <w:r>
        <w:rPr>
          <w:rFonts w:ascii="Arial" w:cs="Arial" w:eastAsia="Arial" w:hAnsi="Arial"/>
          <w:sz w:val="21"/>
          <w:szCs w:val="21"/>
        </w:rPr>
        <w:t xml:space="preserve">khách bấm "Áp dụng",</w:t>
      </w:r>
    </w:p>
    <w:p>
      <w:pPr>
        <w:spacing w:after="100"/>
      </w:pPr>
      <w:r>
        <w:rPr>
          <w:rFonts w:ascii="Arial" w:cs="Arial" w:eastAsia="Arial" w:hAnsi="Arial"/>
          <w:b/>
          <w:bCs/>
          <w:sz w:val="21"/>
          <w:szCs w:val="21"/>
        </w:rPr>
        <w:t xml:space="preserve">Then </w:t>
      </w:r>
      <w:r>
        <w:rPr>
          <w:rFonts w:ascii="Arial" w:cs="Arial" w:eastAsia="Arial" w:hAnsi="Arial"/>
          <w:sz w:val="21"/>
          <w:szCs w:val="21"/>
        </w:rPr>
        <w:t xml:space="preserve">hệ thống hiển thị "Mã khuyến mãi không hợp lệ".</w:t>
      </w:r>
    </w:p>
    <w:p>
      <w:pPr>
        <w:pStyle w:val="Heading1"/>
        <w:spacing w:after="120" w:before="240"/>
      </w:pPr>
      <w:r>
        <w:rPr>
          <w:rFonts w:ascii="Arial" w:cs="Arial" w:eastAsia="Arial" w:hAnsi="Arial"/>
          <w:b/>
          <w:bCs/>
          <w:sz w:val="26"/>
          <w:szCs w:val="26"/>
        </w:rPr>
        <w:t xml:space="preserve">Tóm tắt thay đổi</w:t>
      </w:r>
    </w:p>
    <w:p>
      <w:pPr>
        <w:spacing w:after="100"/>
      </w:pPr>
      <w:r>
        <w:rPr>
          <w:rFonts w:ascii="Arial" w:cs="Arial" w:eastAsia="Arial" w:hAnsi="Arial"/>
          <w:sz w:val="21"/>
          <w:szCs w:val="21"/>
        </w:rPr>
        <w:t xml:space="preserve">AC2: tách When về một hành động và thay "xử lý phù hợp" bằng thông báo/con số cụ thể. AC3: đưa trạng thái (mã không tồn tại) về Given, đưa hành động (bấm Áp dụng) về When. Nội dung thông báo ở AC3 giữ nguyên như bản gốc.</w:t>
      </w:r>
    </w:p>
    <w:sectPr>
      <w:pgSz w:w="11906" w:h="16838" w:orient="portrait"/>
      <w:pgMar w:top="1200" w:right="1253" w:bottom="1200" w:left="12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2026-10-11T15:43:08.775Z</dcterms:created>
  <dcterms:modified xsi:type="dcterms:W3CDTF">2026-10-11T15:43:08.780Z</dcterms:modified>
</cp:coreProperties>
</file>

<file path=docProps/custom.xml><?xml version="1.0" encoding="utf-8"?>
<Properties xmlns="http://schemas.openxmlformats.org/officeDocument/2006/custom-properties" xmlns:vt="http://schemas.openxmlformats.org/officeDocument/2006/docPropsVTypes"/>
</file>