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BT2 – PHÂN LOẠI VÀ SỬA BIÊN BẢN SPRINT RETROSPECTIVE</w:t>
      </w:r>
    </w:p>
    <w:p>
      <w:r>
        <w:t>Dự án: RikkeiAssist | Sprint 11</w:t>
      </w:r>
    </w:p>
    <w:p>
      <w:pPr>
        <w:pStyle w:val="Heading1"/>
      </w:pPr>
      <w:r>
        <w:t>Phần 1. Phân loại ý kiến Start–Stop–Continue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DEBF6"/>
          </w:tcPr>
          <w:p>
            <w:r>
              <w:rPr>
                <w:b/>
                <w:sz w:val="20"/>
              </w:rPr>
              <w:t>Mã</w:t>
            </w:r>
          </w:p>
        </w:tc>
        <w:tc>
          <w:tcPr>
            <w:tcW w:type="dxa" w:w="2880"/>
            <w:shd w:fill="DDEBF6"/>
          </w:tcPr>
          <w:p>
            <w:r>
              <w:rPr>
                <w:b/>
                <w:sz w:val="20"/>
              </w:rPr>
              <w:t>Phân loại</w:t>
            </w:r>
          </w:p>
        </w:tc>
        <w:tc>
          <w:tcPr>
            <w:tcW w:type="dxa" w:w="2880"/>
            <w:shd w:fill="DDEBF6"/>
          </w:tcPr>
          <w:p>
            <w:r>
              <w:rPr>
                <w:b/>
                <w:sz w:val="20"/>
              </w:rPr>
              <w:t>Giữ, chuyển nơi xử lý hoặc viết lại</w:t>
            </w:r>
          </w:p>
        </w:tc>
      </w:tr>
      <w:tr>
        <w:tc>
          <w:tcPr>
            <w:tcW w:type="dxa" w:w="2880"/>
          </w:tcPr>
          <w:p>
            <w:r>
              <w:rPr>
                <w:sz w:val="20"/>
              </w:rPr>
              <w:t>R-01</w:t>
            </w:r>
          </w:p>
        </w:tc>
        <w:tc>
          <w:tcPr>
            <w:tcW w:type="dxa" w:w="2880"/>
          </w:tcPr>
          <w:p>
            <w:r>
              <w:rPr>
                <w:sz w:val="20"/>
              </w:rPr>
              <w:t>Phản hồi sản phẩm</w:t>
            </w:r>
          </w:p>
        </w:tc>
        <w:tc>
          <w:tcPr>
            <w:tcW w:type="dxa" w:w="2880"/>
          </w:tcPr>
          <w:p>
            <w:r>
              <w:rPr>
                <w:sz w:val="20"/>
              </w:rPr>
              <w:t>Chuyển đề xuất nút tự hủy đơn trên mạng xã hội cho Product Owner xem xét và sắp xếp Product Backlog; không giữ làm Improvement của Retrospective.</w:t>
            </w:r>
          </w:p>
        </w:tc>
      </w:tr>
      <w:tr>
        <w:tc>
          <w:tcPr>
            <w:tcW w:type="dxa" w:w="2880"/>
          </w:tcPr>
          <w:p>
            <w:r>
              <w:rPr>
                <w:sz w:val="20"/>
              </w:rPr>
              <w:t>R-02</w:t>
            </w:r>
          </w:p>
        </w:tc>
        <w:tc>
          <w:tcPr>
            <w:tcW w:type="dxa" w:w="2880"/>
          </w:tcPr>
          <w:p>
            <w:r>
              <w:rPr>
                <w:sz w:val="20"/>
              </w:rPr>
              <w:t>Cần làm rõ</w:t>
            </w:r>
          </w:p>
        </w:tc>
        <w:tc>
          <w:tcPr>
            <w:tcW w:type="dxa" w:w="2880"/>
          </w:tcPr>
          <w:p>
            <w:r>
              <w:rPr>
                <w:sz w:val="20"/>
              </w:rPr>
              <w:t>Không giữ nguyên câu “Giao tiếp tốt hơn”. Viết thành Start: “Khi thay đổi quy tắc chuyển người, thông báo trong kênh chung và cập nhật tài liệu trước khi triển khai”.</w:t>
            </w:r>
          </w:p>
        </w:tc>
      </w:tr>
      <w:tr>
        <w:tc>
          <w:tcPr>
            <w:tcW w:type="dxa" w:w="2880"/>
          </w:tcPr>
          <w:p>
            <w:r>
              <w:rPr>
                <w:sz w:val="20"/>
              </w:rPr>
              <w:t>R-03</w:t>
            </w:r>
          </w:p>
        </w:tc>
        <w:tc>
          <w:tcPr>
            <w:tcW w:type="dxa" w:w="2880"/>
          </w:tcPr>
          <w:p>
            <w:r>
              <w:rPr>
                <w:sz w:val="20"/>
              </w:rPr>
              <w:t>Cách làm việc</w:t>
            </w:r>
          </w:p>
        </w:tc>
        <w:tc>
          <w:tcPr>
            <w:tcW w:type="dxa" w:w="2880"/>
          </w:tcPr>
          <w:p>
            <w:r>
              <w:rPr>
                <w:sz w:val="20"/>
              </w:rPr>
              <w:t>Viết lại theo hướng Stop: “Dừng việc thay đổi quy tắc chuyển người mà chưa trao đổi với các bên liên quan và chưa cập nhật tài liệu chung”. Không quy trách nhiệm cá nhân cho Nam.</w:t>
            </w:r>
          </w:p>
        </w:tc>
      </w:tr>
      <w:tr>
        <w:tc>
          <w:tcPr>
            <w:tcW w:type="dxa" w:w="2880"/>
          </w:tcPr>
          <w:p>
            <w:r>
              <w:rPr>
                <w:sz w:val="20"/>
              </w:rPr>
              <w:t>R-04</w:t>
            </w:r>
          </w:p>
        </w:tc>
        <w:tc>
          <w:tcPr>
            <w:tcW w:type="dxa" w:w="2880"/>
          </w:tcPr>
          <w:p>
            <w:r>
              <w:rPr>
                <w:sz w:val="20"/>
              </w:rPr>
              <w:t>Cách làm việc</w:t>
            </w:r>
          </w:p>
        </w:tc>
        <w:tc>
          <w:tcPr>
            <w:tcW w:type="dxa" w:w="2880"/>
          </w:tcPr>
          <w:p>
            <w:r>
              <w:rPr>
                <w:sz w:val="20"/>
              </w:rPr>
              <w:t>Giữ ở Stop: dừng đổi quy tắc qua tin nhắn riêng mà không cập nhật tài liệu chung. Có thể gộp với R-03 để tránh trùng lặp.</w:t>
            </w:r>
          </w:p>
        </w:tc>
      </w:tr>
      <w:tr>
        <w:tc>
          <w:tcPr>
            <w:tcW w:type="dxa" w:w="2880"/>
          </w:tcPr>
          <w:p>
            <w:r>
              <w:rPr>
                <w:sz w:val="20"/>
              </w:rPr>
              <w:t>R-05</w:t>
            </w:r>
          </w:p>
        </w:tc>
        <w:tc>
          <w:tcPr>
            <w:tcW w:type="dxa" w:w="2880"/>
          </w:tcPr>
          <w:p>
            <w:r>
              <w:rPr>
                <w:sz w:val="20"/>
              </w:rPr>
              <w:t>Cách làm việc</w:t>
            </w:r>
          </w:p>
        </w:tc>
        <w:tc>
          <w:tcPr>
            <w:tcW w:type="dxa" w:w="2880"/>
          </w:tcPr>
          <w:p>
            <w:r>
              <w:rPr>
                <w:sz w:val="20"/>
              </w:rPr>
              <w:t>Giữ ở Continue: tiếp tục pairing giữa người kiểm thử và người phụ trách luồng hội thoại khi tái hiện lỗi.</w:t>
            </w:r>
          </w:p>
        </w:tc>
      </w:tr>
      <w:tr>
        <w:tc>
          <w:tcPr>
            <w:tcW w:type="dxa" w:w="2880"/>
          </w:tcPr>
          <w:p>
            <w:r>
              <w:rPr>
                <w:sz w:val="20"/>
              </w:rPr>
              <w:t>R-06</w:t>
            </w:r>
          </w:p>
        </w:tc>
        <w:tc>
          <w:tcPr>
            <w:tcW w:type="dxa" w:w="2880"/>
          </w:tcPr>
          <w:p>
            <w:r>
              <w:rPr>
                <w:sz w:val="20"/>
              </w:rPr>
              <w:t>Phản hồi sản phẩm</w:t>
            </w:r>
          </w:p>
        </w:tc>
        <w:tc>
          <w:tcPr>
            <w:tcW w:type="dxa" w:w="2880"/>
          </w:tcPr>
          <w:p>
            <w:r>
              <w:rPr>
                <w:sz w:val="20"/>
              </w:rPr>
              <w:t>Chuyển mục tiêu tỷ lệ AI tự trả lời 90% sang Product Owner và Product Backlog để cân nhắc giá trị, rủi ro và độ an toàn; không xem là Improvement về quy trình.</w:t>
            </w:r>
          </w:p>
        </w:tc>
      </w:tr>
      <w:tr>
        <w:tc>
          <w:tcPr>
            <w:tcW w:type="dxa" w:w="2880"/>
          </w:tcPr>
          <w:p>
            <w:r>
              <w:rPr>
                <w:sz w:val="20"/>
              </w:rPr>
              <w:t>R-07</w:t>
            </w:r>
          </w:p>
        </w:tc>
        <w:tc>
          <w:tcPr>
            <w:tcW w:type="dxa" w:w="2880"/>
          </w:tcPr>
          <w:p>
            <w:r>
              <w:rPr>
                <w:sz w:val="20"/>
              </w:rPr>
              <w:t>Cách làm việc</w:t>
            </w:r>
          </w:p>
        </w:tc>
        <w:tc>
          <w:tcPr>
            <w:tcW w:type="dxa" w:w="2880"/>
          </w:tcPr>
          <w:p>
            <w:r>
              <w:rPr>
                <w:sz w:val="20"/>
              </w:rPr>
              <w:t>Không chấp nhận đề xuất hạ Definition of Done. Giữ yêu cầu không còn lỗi nghiêm trọng cao; cải tiến cách phát hiện và xử lý lỗi sớm thay vì bỏ tiêu chuẩn.</w:t>
            </w:r>
          </w:p>
        </w:tc>
      </w:tr>
    </w:tbl>
    <w:p/>
    <w:p>
      <w:pPr>
        <w:pStyle w:val="Heading1"/>
      </w:pPr>
      <w:r>
        <w:t>Phần 2. Rà soát và lựa chọn Improvement</w:t>
      </w:r>
    </w:p>
    <w:p>
      <w:r>
        <w:t>Đánh giá: IM-11-01 mơ hồ, thiếu bằng chứng; IM-11-02 mơ hồ và “ít lỗi hơn” không phải tiêu chí kiểm tra quy trình rõ ràng; IM-11-03 là mục tiêu sản phẩm, chuyển Product Backlog; IM-11-04 phù hợp nhưng thiếu người theo dõi và thời điểm kiểm tra. Nhóm chọn tối đa hai Improvement dưới đây, do cả Scrum Team thống nhất.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DEBF6"/>
          </w:tcPr>
          <w:p>
            <w:r>
              <w:rPr>
                <w:b/>
                <w:sz w:val="20"/>
              </w:rPr>
              <w:t>Hành động</w:t>
            </w:r>
          </w:p>
        </w:tc>
        <w:tc>
          <w:tcPr>
            <w:tcW w:type="dxa" w:w="2160"/>
            <w:shd w:fill="DDEBF6"/>
          </w:tcPr>
          <w:p>
            <w:r>
              <w:rPr>
                <w:b/>
                <w:sz w:val="20"/>
              </w:rPr>
              <w:t>Người/nhóm theo dõi</w:t>
            </w:r>
          </w:p>
        </w:tc>
        <w:tc>
          <w:tcPr>
            <w:tcW w:type="dxa" w:w="2160"/>
            <w:shd w:fill="DDEBF6"/>
          </w:tcPr>
          <w:p>
            <w:r>
              <w:rPr>
                <w:b/>
                <w:sz w:val="20"/>
              </w:rPr>
              <w:t>Khi kiểm tra</w:t>
            </w:r>
          </w:p>
        </w:tc>
        <w:tc>
          <w:tcPr>
            <w:tcW w:type="dxa" w:w="2160"/>
            <w:shd w:fill="DDEBF6"/>
          </w:tcPr>
          <w:p>
            <w:r>
              <w:rPr>
                <w:b/>
                <w:sz w:val="20"/>
              </w:rPr>
              <w:t>Bằng chứng</w:t>
            </w:r>
          </w:p>
        </w:tc>
      </w:tr>
      <w:tr>
        <w:tc>
          <w:tcPr>
            <w:tcW w:type="dxa" w:w="2160"/>
          </w:tcPr>
          <w:p>
            <w:r>
              <w:rPr>
                <w:sz w:val="20"/>
              </w:rPr>
              <w:t>IM-11-04 (sửa): Khi có thay đổi quy tắc chuyển người, người đề xuất tạo/cập nhật phiên bản tài liệu chung, thông báo trên kênh nhóm và xác nhận với người kiểm thử trước khi triển khai.</w:t>
            </w:r>
          </w:p>
        </w:tc>
        <w:tc>
          <w:tcPr>
            <w:tcW w:type="dxa" w:w="2160"/>
          </w:tcPr>
          <w:p>
            <w:r>
              <w:rPr>
                <w:sz w:val="20"/>
              </w:rPr>
              <w:t>Nam (phối hợp Khánh Vy); Scrum Master hỗ trợ theo dõi</w:t>
            </w:r>
          </w:p>
        </w:tc>
        <w:tc>
          <w:tcPr>
            <w:tcW w:type="dxa" w:w="2160"/>
          </w:tcPr>
          <w:p>
            <w:r>
              <w:rPr>
                <w:sz w:val="20"/>
              </w:rPr>
              <w:t>Mỗi lần đổi quy tắc; tổng kết tại Sprint Review/Retrospective Sprint 12</w:t>
            </w:r>
          </w:p>
        </w:tc>
        <w:tc>
          <w:tcPr>
            <w:tcW w:type="dxa" w:w="2160"/>
          </w:tcPr>
          <w:p>
            <w:r>
              <w:rPr>
                <w:sz w:val="20"/>
              </w:rPr>
              <w:t>Lịch sử phiên bản tài liệu, liên kết thông báo kênh chung và checklist xác nhận trước triển khai.</w:t>
            </w:r>
          </w:p>
        </w:tc>
      </w:tr>
      <w:tr>
        <w:tc>
          <w:tcPr>
            <w:tcW w:type="dxa" w:w="2160"/>
          </w:tcPr>
          <w:p>
            <w:r>
              <w:rPr>
                <w:sz w:val="20"/>
              </w:rPr>
              <w:t>IM-11-02 (viết lại): Kiểm tra quyền truy cập môi trường thử nghiệm của người kiểm thử ngay Ngày 1; chuẩn bị bộ ca kiểm thử lỗi dịch vụ và chạy vòng kiểm thử tích hợp đầu tiên chậm nhất Ngày 4.</w:t>
            </w:r>
          </w:p>
        </w:tc>
        <w:tc>
          <w:tcPr>
            <w:tcW w:type="dxa" w:w="2160"/>
          </w:tcPr>
          <w:p>
            <w:r>
              <w:rPr>
                <w:sz w:val="20"/>
              </w:rPr>
              <w:t>Khánh Vy phối hợp Developers; Scrum Master theo dõi vướng mắc</w:t>
            </w:r>
          </w:p>
        </w:tc>
        <w:tc>
          <w:tcPr>
            <w:tcW w:type="dxa" w:w="2160"/>
          </w:tcPr>
          <w:p>
            <w:r>
              <w:rPr>
                <w:sz w:val="20"/>
              </w:rPr>
              <w:t>Kiểm tra quyền Ngày 1, kết quả test Ngày 4 và tổng kết cuối Sprint 12</w:t>
            </w:r>
          </w:p>
        </w:tc>
        <w:tc>
          <w:tcPr>
            <w:tcW w:type="dxa" w:w="2160"/>
          </w:tcPr>
          <w:p>
            <w:r>
              <w:rPr>
                <w:sz w:val="20"/>
              </w:rPr>
              <w:t>Danh sách quyền truy cập đã xác nhận, log chạy test có thời gian, kết quả các ca lỗi và danh sách vướng mắc được xử lý.</w:t>
            </w:r>
          </w:p>
        </w:tc>
      </w:tr>
    </w:tbl>
    <w:p/>
    <w:p>
      <w:r>
        <w:t>Xử lý IM-10-02: Không đánh dấu hoàn thành hay chỉ gia hạn vì Sprint 11 vẫn chạy Integration Test lần đầu vào Ngày 8. Scrum Team phân tích nguyên nhân (quyền môi trường chỉ cấp đủ Ngày 4 và việc phối hợp chuẩn bị test), đưa biện pháp kiểm tra quyền từ Ngày 1 và chạy test trước hoặc trong Ngày 4 vào IM-11-02, rồi kiểm chứng bằng log test trong Sprint 12.</w:t>
      </w:r>
    </w:p>
    <w:p>
      <w:pPr>
        <w:pStyle w:val="Heading1"/>
      </w:pPr>
      <w:r>
        <w:t>Phần 3. Nhận xét cách điều phối</w:t>
      </w:r>
    </w:p>
    <w:p>
      <w:r>
        <w:t>1. Scrum Master mở đầu bằng câu “Ai đã làm sáu khiếu nại bị phân loại sai?” là truy tìm cá nhân thay vì xem xét nguyên nhân trong quy trình, công cụ và phối hợp (QT2). Việc nêu tên thành viên khiến hai người khác ngừng phát biểu, làm giảm an toàn tâm lý và khiến nhóm bỏ sót thông tin quan trọng. Nên hỏi: “Điều gì trong quy trình hoặc điều kiện làm việc khiến sáu ca bị phân loại sai, và chúng ta có thể cải thiện điều gì?”.</w:t>
      </w:r>
    </w:p>
    <w:p>
      <w:r>
        <w:t>2. Product Owner trả lời thay từng ý và tự chọn giải pháp là không phù hợp QT2–QT3 vì Sprint Retrospective cần Scrum Team cùng thảo luận và quyết định Improvement. Cách điều phối này hạn chế góc nhìn của Developers, làm thành viên ngại góp ý và tước quyền cùng lựa chọn hành động của nhóm. Scrum Master nên mời từng người chia sẻ, ghi nhận ý kiến không gắn tên khi cần, sau đó để Scrum Team cùng chọn tối đa hai hành động có người theo dõi, thời hạn và bằng chứng.</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BT2 | Sprint Retrospective – RikkeiAssist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941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941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