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CẨM NANG SỬ DỤNG IHRMS</w:t>
      </w:r>
    </w:p>
    <w:p>
      <w:r>
        <w:rPr>
          <w:b/>
        </w:rPr>
        <w:t>Đối tượng:</w:t>
      </w:r>
      <w:r>
        <w:t xml:space="preserve"> nhân viên, quản lý, Nhân sự, Tài chính, quản trị hệ thống</w:t>
      </w:r>
    </w:p>
    <w:p>
      <w:r>
        <w:rPr>
          <w:b/>
        </w:rPr>
        <w:t>Phiên bản:</w:t>
      </w:r>
      <w:r>
        <w:t xml:space="preserve"> 1.1 — 24/09/2026</w:t>
      </w:r>
    </w:p>
    <w:p>
      <w:r>
        <w:rPr>
          <w:b/>
        </w:rPr>
        <w:t>Phạm vi:</w:t>
      </w:r>
      <w:r>
        <w:t xml:space="preserve"> thao tác theo giao diện hiện có. Quy định nội bộ về hạn xử lý, người thay thế và phê duyệt cần công ty ban hành riêng.</w:t>
      </w:r>
    </w:p>
    <w:p>
      <w:pPr>
        <w:pStyle w:val="Heading2"/>
      </w:pPr>
      <w:r>
        <w:t>1. Sau khóa học, bạn có thể</w:t>
      </w:r>
    </w:p>
    <w:p>
      <w:r>
        <w:t>Đăng nhập an toàn; cập nhật/đối chiếu hồ sơ; ghi công và xin nghỉ; xử lý yêu cầu theo vai trò; tra cứu phiếu lương; báo sự cố mà không làm lộ mật khẩu hoặc dữ liệu nhân sự.</w:t>
      </w:r>
    </w:p>
    <w:p>
      <w:pPr>
        <w:pStyle w:val="Heading2"/>
      </w:pPr>
      <w:r>
        <w:t>2. Vai trò</w:t>
      </w:r>
    </w:p>
    <w:tbl>
      <w:tblPr>
        <w:tblStyle w:val="LightShading-Accent1"/>
        <w:tblW w:type="auto" w:w="0"/>
        <w:jc w:val="center"/>
        <w:tblLook w:firstColumn="1" w:firstRow="1" w:lastColumn="0" w:lastRow="0" w:noHBand="0" w:noVBand="1" w:val="04A0"/>
      </w:tblPr>
      <w:tblGrid>
        <w:gridCol w:w="4997"/>
        <w:gridCol w:w="4997"/>
      </w:tblGrid>
      <w:tr>
        <w:tc>
          <w:tcPr>
            <w:tcW w:type="dxa" w:w="4997"/>
            <w:vAlign w:val="center"/>
            <w:shd w:fill="1F4E79"/>
          </w:tcPr>
          <w:p>
            <w:r>
              <w:rPr>
                <w:b/>
                <w:color w:val="FFFFFF"/>
                <w:sz w:val="18"/>
              </w:rPr>
            </w:r>
            <w:r>
              <w:rPr>
                <w:b/>
                <w:color w:val="FFFFFF"/>
                <w:sz w:val="18"/>
              </w:rPr>
              <w:t>Vai trò</w:t>
            </w:r>
          </w:p>
        </w:tc>
        <w:tc>
          <w:tcPr>
            <w:tcW w:type="dxa" w:w="4997"/>
            <w:vAlign w:val="center"/>
            <w:shd w:fill="1F4E79"/>
          </w:tcPr>
          <w:p>
            <w:r>
              <w:rPr>
                <w:b/>
                <w:color w:val="FFFFFF"/>
                <w:sz w:val="18"/>
              </w:rPr>
            </w:r>
            <w:r>
              <w:rPr>
                <w:b/>
                <w:color w:val="FFFFFF"/>
                <w:sz w:val="18"/>
              </w:rPr>
              <w:t>Nghiệp vụ chính</w:t>
            </w:r>
          </w:p>
        </w:tc>
      </w:tr>
      <w:tr>
        <w:tc>
          <w:tcPr>
            <w:tcW w:type="dxa" w:w="4997"/>
            <w:vAlign w:val="center"/>
          </w:tcPr>
          <w:p>
            <w:r>
              <w:rPr>
                <w:sz w:val="18"/>
              </w:rPr>
            </w:r>
            <w:r>
              <w:rPr>
                <w:sz w:val="18"/>
              </w:rPr>
              <w:t>Nhân viên</w:t>
            </w:r>
          </w:p>
        </w:tc>
        <w:tc>
          <w:tcPr>
            <w:tcW w:type="dxa" w:w="4997"/>
            <w:vAlign w:val="center"/>
          </w:tcPr>
          <w:p>
            <w:r>
              <w:rPr>
                <w:sz w:val="18"/>
              </w:rPr>
            </w:r>
            <w:r>
              <w:rPr>
                <w:sz w:val="18"/>
              </w:rPr>
              <w:t>Hồ sơ cá nhân, bảng công, nghỉ phép, việc/KPI được giao, tài liệu, phiếu lương và dịch vụ văn phòng được cấp.</w:t>
            </w:r>
          </w:p>
        </w:tc>
      </w:tr>
      <w:tr>
        <w:tc>
          <w:tcPr>
            <w:tcW w:type="dxa" w:w="4997"/>
            <w:vAlign w:val="center"/>
            <w:shd w:fill="EAF1F8"/>
          </w:tcPr>
          <w:p>
            <w:r>
              <w:rPr>
                <w:sz w:val="18"/>
              </w:rPr>
            </w:r>
            <w:r>
              <w:rPr>
                <w:sz w:val="18"/>
              </w:rPr>
              <w:t>Trưởng bộ phận</w:t>
            </w:r>
          </w:p>
        </w:tc>
        <w:tc>
          <w:tcPr>
            <w:tcW w:type="dxa" w:w="4997"/>
            <w:vAlign w:val="center"/>
            <w:shd w:fill="EAF1F8"/>
          </w:tcPr>
          <w:p>
            <w:r>
              <w:rPr>
                <w:sz w:val="18"/>
              </w:rPr>
            </w:r>
            <w:r>
              <w:rPr>
                <w:sz w:val="18"/>
              </w:rPr>
              <w:t>Nghiệp vụ cá nhân; duyệt nghỉ/chấm công trong phạm vi; giao việc/chấm KPI nếu được cấp quyền.</w:t>
            </w:r>
          </w:p>
        </w:tc>
      </w:tr>
      <w:tr>
        <w:tc>
          <w:tcPr>
            <w:tcW w:type="dxa" w:w="4997"/>
            <w:vAlign w:val="center"/>
          </w:tcPr>
          <w:p>
            <w:r>
              <w:rPr>
                <w:sz w:val="18"/>
              </w:rPr>
            </w:r>
            <w:r>
              <w:rPr>
                <w:sz w:val="18"/>
              </w:rPr>
              <w:t>Nhân sự</w:t>
            </w:r>
          </w:p>
        </w:tc>
        <w:tc>
          <w:tcPr>
            <w:tcW w:type="dxa" w:w="4997"/>
            <w:vAlign w:val="center"/>
          </w:tcPr>
          <w:p>
            <w:r>
              <w:rPr>
                <w:sz w:val="18"/>
              </w:rPr>
            </w:r>
            <w:r>
              <w:rPr>
                <w:sz w:val="18"/>
              </w:rPr>
              <w:t>Hồ sơ, hợp đồng, tuyển dụng, lịch/ngày lễ và các báo cáo/phê duyệt được cấp.</w:t>
            </w:r>
          </w:p>
        </w:tc>
      </w:tr>
      <w:tr>
        <w:tc>
          <w:tcPr>
            <w:tcW w:type="dxa" w:w="4997"/>
            <w:vAlign w:val="center"/>
            <w:shd w:fill="EAF1F8"/>
          </w:tcPr>
          <w:p>
            <w:r>
              <w:rPr>
                <w:sz w:val="18"/>
              </w:rPr>
            </w:r>
            <w:r>
              <w:rPr>
                <w:sz w:val="18"/>
              </w:rPr>
              <w:t>Tài chính</w:t>
            </w:r>
          </w:p>
        </w:tc>
        <w:tc>
          <w:tcPr>
            <w:tcW w:type="dxa" w:w="4997"/>
            <w:vAlign w:val="center"/>
            <w:shd w:fill="EAF1F8"/>
          </w:tcPr>
          <w:p>
            <w:r>
              <w:rPr>
                <w:sz w:val="18"/>
              </w:rPr>
            </w:r>
            <w:r>
              <w:rPr>
                <w:sz w:val="18"/>
              </w:rPr>
              <w:t>Kỳ lương, bảng lương, cấu hình lương/thuế/bảo hiểm và phát hành theo phân quyền.</w:t>
            </w:r>
          </w:p>
        </w:tc>
      </w:tr>
      <w:tr>
        <w:tc>
          <w:tcPr>
            <w:tcW w:type="dxa" w:w="4997"/>
            <w:vAlign w:val="center"/>
          </w:tcPr>
          <w:p>
            <w:r>
              <w:rPr>
                <w:sz w:val="18"/>
              </w:rPr>
            </w:r>
            <w:r>
              <w:rPr>
                <w:sz w:val="18"/>
              </w:rPr>
              <w:t>Quản trị hệ thống</w:t>
            </w:r>
          </w:p>
        </w:tc>
        <w:tc>
          <w:tcPr>
            <w:tcW w:type="dxa" w:w="4997"/>
            <w:vAlign w:val="center"/>
          </w:tcPr>
          <w:p>
            <w:r>
              <w:rPr>
                <w:sz w:val="18"/>
              </w:rPr>
            </w:r>
            <w:r>
              <w:rPr>
                <w:sz w:val="18"/>
              </w:rPr>
              <w:t>Tài khoản, vai trò và thiết lập kỹ thuật. Không dùng tài khoản quản trị cho công việc thường ngày.</w:t>
            </w:r>
          </w:p>
        </w:tc>
      </w:tr>
      <w:tr>
        <w:tc>
          <w:tcPr>
            <w:tcW w:type="dxa" w:w="4997"/>
            <w:vAlign w:val="center"/>
            <w:shd w:fill="EAF1F8"/>
          </w:tcPr>
          <w:p>
            <w:r>
              <w:rPr>
                <w:sz w:val="18"/>
              </w:rPr>
            </w:r>
            <w:r>
              <w:rPr>
                <w:sz w:val="18"/>
              </w:rPr>
              <w:t>Ban giám đốc</w:t>
            </w:r>
          </w:p>
        </w:tc>
        <w:tc>
          <w:tcPr>
            <w:tcW w:type="dxa" w:w="4997"/>
            <w:vAlign w:val="center"/>
            <w:shd w:fill="EAF1F8"/>
          </w:tcPr>
          <w:p>
            <w:r>
              <w:rPr>
                <w:sz w:val="18"/>
              </w:rPr>
            </w:r>
            <w:r>
              <w:rPr>
                <w:sz w:val="18"/>
              </w:rPr>
              <w:t>Báo cáo và phê duyệt theo vai trò được gán.</w:t>
            </w:r>
          </w:p>
        </w:tc>
      </w:tr>
    </w:tbl>
    <w:p>
      <w:pPr>
        <w:spacing w:after="20"/>
      </w:pPr>
    </w:p>
    <w:p>
      <w:r>
        <w:t>Menu thay đổi theo quyền tài khoản. Cờ “Staff status” không thay thế vai trò nghiệp vụ. Không dùng chung tài khoản.</w:t>
      </w:r>
    </w:p>
    <w:p>
      <w:pPr>
        <w:pStyle w:val="Heading2"/>
      </w:pPr>
      <w:r>
        <w:t>3. Đăng nhập và điều hướng</w:t>
      </w:r>
    </w:p>
    <w:p>
      <w:pPr>
        <w:ind w:left="403" w:hanging="360"/>
      </w:pPr>
      <w:r>
        <w:t xml:space="preserve">1.  </w:t>
      </w:r>
      <w:r>
        <w:t>Mở địa chỉ IHRMS do công ty cung cấp; kiểm tra đúng tên miền và HTTPS.</w:t>
      </w:r>
    </w:p>
    <w:p>
      <w:pPr>
        <w:ind w:left="403" w:hanging="360"/>
      </w:pPr>
      <w:r>
        <w:t xml:space="preserve">2.  </w:t>
      </w:r>
      <w:r>
        <w:t>Đăng nhập bằng tài khoản cá nhân. Nếu quên mật khẩu, liên hệ đầu mối được công ty chỉ định; không gửi mật khẩu qua chat/email.</w:t>
      </w:r>
    </w:p>
    <w:p>
      <w:pPr>
        <w:ind w:left="403" w:hanging="360"/>
      </w:pPr>
      <w:r>
        <w:t xml:space="preserve">3.  </w:t>
      </w:r>
      <w:r>
        <w:t xml:space="preserve">Trang chính là </w:t>
      </w:r>
      <w:r>
        <w:rPr>
          <w:b/>
        </w:rPr>
        <w:t>Bảng điều khiển</w:t>
      </w:r>
      <w:r>
        <w:t xml:space="preserve">. Menu bên trái có thể gồm </w:t>
      </w:r>
      <w:r>
        <w:rPr>
          <w:b/>
        </w:rPr>
        <w:t>Hồ sơ cá nhân</w:t>
      </w:r>
      <w:r>
        <w:t xml:space="preserve">, </w:t>
      </w:r>
      <w:r>
        <w:rPr>
          <w:b/>
        </w:rPr>
        <w:t>Bảng công</w:t>
      </w:r>
      <w:r>
        <w:t xml:space="preserve">, </w:t>
      </w:r>
      <w:r>
        <w:rPr>
          <w:b/>
        </w:rPr>
        <w:t>Nghỉ phép</w:t>
      </w:r>
      <w:r>
        <w:t xml:space="preserve">, </w:t>
      </w:r>
      <w:r>
        <w:rPr>
          <w:b/>
        </w:rPr>
        <w:t>Công việc</w:t>
      </w:r>
      <w:r>
        <w:t xml:space="preserve">, </w:t>
      </w:r>
      <w:r>
        <w:rPr>
          <w:b/>
        </w:rPr>
        <w:t>KPI</w:t>
      </w:r>
      <w:r>
        <w:t xml:space="preserve">, </w:t>
      </w:r>
      <w:r>
        <w:rPr>
          <w:b/>
        </w:rPr>
        <w:t>Tài liệu</w:t>
      </w:r>
      <w:r>
        <w:t xml:space="preserve">, </w:t>
      </w:r>
      <w:r>
        <w:rPr>
          <w:b/>
        </w:rPr>
        <w:t>Tài sản</w:t>
      </w:r>
      <w:r>
        <w:t xml:space="preserve">, </w:t>
      </w:r>
      <w:r>
        <w:rPr>
          <w:b/>
        </w:rPr>
        <w:t>Phiếu lương</w:t>
      </w:r>
      <w:r>
        <w:t>. Menu duyệt/quản lý chỉ hiện với người được cấp quyền.</w:t>
      </w:r>
    </w:p>
    <w:p>
      <w:pPr>
        <w:ind w:left="403" w:hanging="360"/>
      </w:pPr>
      <w:r>
        <w:t xml:space="preserve">4.  </w:t>
      </w:r>
      <w:r>
        <w:t>Chuông thông báo hiển thị thông tin được gửi tới bạn. Chọn tên tài khoản để xem lựa chọn tài khoản.</w:t>
      </w:r>
    </w:p>
    <w:p>
      <w:pPr>
        <w:ind w:left="403" w:hanging="360"/>
      </w:pPr>
      <w:r>
        <w:t xml:space="preserve">5.  </w:t>
      </w:r>
      <w:r>
        <w:t xml:space="preserve">Chọn </w:t>
      </w:r>
      <w:r>
        <w:rPr>
          <w:b/>
        </w:rPr>
        <w:t>Đăng xuất</w:t>
      </w:r>
      <w:r>
        <w:t xml:space="preserve"> khi xong, nhất là trên máy dùng chung.</w:t>
      </w:r>
    </w:p>
    <w:p>
      <w:pPr>
        <w:pStyle w:val="Heading2"/>
      </w:pPr>
      <w:r>
        <w:t>4. Nhân viên</w:t>
      </w:r>
    </w:p>
    <w:p>
      <w:pPr>
        <w:pStyle w:val="Heading3"/>
      </w:pPr>
      <w:r>
        <w:t>4.1 Đối chiếu hồ sơ</w:t>
      </w:r>
    </w:p>
    <w:p>
      <w:r>
        <w:t xml:space="preserve">Mở </w:t>
      </w:r>
      <w:r>
        <w:rPr>
          <w:b/>
        </w:rPr>
        <w:t>Hồ sơ cá nhân</w:t>
      </w:r>
      <w:r>
        <w:t>. Đối chiếu họ tên, ngày sinh, giới tính, email công ty, điện thoại, phòng ban, chức vụ, quản lý, ngày vào làm/trạng thái và thông tin hợp đồng/lịch sử nếu hiển thị. Nếu sai hoặc không sửa được, gửi yêu cầu cho Nhân sự; không tạo hồ sơ khác để thay thế.</w:t>
      </w:r>
    </w:p>
    <w:p>
      <w:pPr>
        <w:pStyle w:val="Heading3"/>
      </w:pPr>
      <w:r>
        <w:t>4.2 Ghi và kiểm tra công</w:t>
      </w:r>
    </w:p>
    <w:p>
      <w:pPr>
        <w:ind w:left="403" w:hanging="360"/>
      </w:pPr>
      <w:r>
        <w:t xml:space="preserve">1.  </w:t>
      </w:r>
      <w:r>
        <w:t xml:space="preserve">Mở </w:t>
      </w:r>
      <w:r>
        <w:rPr>
          <w:b/>
        </w:rPr>
        <w:t>Bảng công</w:t>
      </w:r>
      <w:r>
        <w:t>, chọn đúng tháng.</w:t>
      </w:r>
    </w:p>
    <w:p>
      <w:pPr>
        <w:ind w:left="403" w:hanging="360"/>
      </w:pPr>
      <w:r>
        <w:t xml:space="preserve">2.  </w:t>
      </w:r>
      <w:r>
        <w:t>Đọc tổng giờ theo ngày/tháng và giờ dự kiến. Nếu gắn giờ với dự án, chọn dự án phù hợp.</w:t>
      </w:r>
    </w:p>
    <w:p>
      <w:pPr>
        <w:ind w:left="403" w:hanging="360"/>
      </w:pPr>
      <w:r>
        <w:t xml:space="preserve">3.  </w:t>
      </w:r>
      <w:r>
        <w:t xml:space="preserve">Chọn </w:t>
      </w:r>
      <w:r>
        <w:rPr>
          <w:b/>
        </w:rPr>
        <w:t>Ghi nhận giờ làm việc</w:t>
      </w:r>
      <w:r>
        <w:t>, nhập ngày/giờ, dự án nếu có; thêm dòng khi cần và lưu.</w:t>
      </w:r>
    </w:p>
    <w:p>
      <w:pPr>
        <w:ind w:left="403" w:hanging="360"/>
      </w:pPr>
      <w:r>
        <w:t xml:space="preserve">4.  </w:t>
      </w:r>
      <w:r>
        <w:t>Kiểm tra tổng theo ngày/tháng và phân bổ dự án. Xem riêng nghỉ ốm, thai sản, nghỉ bù, phép năm, không lương nếu màn hình có hiển thị.</w:t>
      </w:r>
    </w:p>
    <w:p>
      <w:pPr>
        <w:ind w:left="403" w:hanging="360"/>
      </w:pPr>
      <w:r>
        <w:t xml:space="preserve">5.  </w:t>
      </w:r>
      <w:r>
        <w:t xml:space="preserve">Chọn </w:t>
      </w:r>
      <w:r>
        <w:rPr>
          <w:b/>
        </w:rPr>
        <w:t>Lưu số ngày nghỉ</w:t>
      </w:r>
      <w:r>
        <w:t xml:space="preserve"> khi cần cập nhật ngày nghỉ. Đối chiếu phép còn lại.</w:t>
      </w:r>
    </w:p>
    <w:p>
      <w:pPr>
        <w:ind w:left="403" w:hanging="360"/>
      </w:pPr>
      <w:r>
        <w:t xml:space="preserve">6.  </w:t>
      </w:r>
      <w:r>
        <w:t>Theo dõi trạng thái duyệt. Sau khi tổng hợp được duyệt, dữ liệu có thể dùng cho báo cáo và lương; không tự sửa số đã duyệt. Sai sót cần được xử lý theo quy trình điều chỉnh.</w:t>
      </w:r>
    </w:p>
    <w:p>
      <w:pPr>
        <w:pStyle w:val="Heading3"/>
      </w:pPr>
      <w:r>
        <w:t>4.3 Xin nghỉ phép/nghỉ bù</w:t>
      </w:r>
    </w:p>
    <w:p>
      <w:pPr>
        <w:ind w:left="403" w:hanging="360"/>
      </w:pPr>
      <w:r>
        <w:t xml:space="preserve">1.  </w:t>
      </w:r>
      <w:r>
        <w:t xml:space="preserve">Mở </w:t>
      </w:r>
      <w:r>
        <w:rPr>
          <w:b/>
        </w:rPr>
        <w:t>Nghỉ phép</w:t>
      </w:r>
      <w:r>
        <w:t xml:space="preserve"> → tạo đơn.</w:t>
      </w:r>
    </w:p>
    <w:p>
      <w:pPr>
        <w:ind w:left="403" w:hanging="360"/>
      </w:pPr>
      <w:r>
        <w:t xml:space="preserve">2.  </w:t>
      </w:r>
      <w:r>
        <w:t>Chọn loại nghỉ; nhập ngày bắt đầu/kết thúc và lý do rõ ràng.</w:t>
      </w:r>
    </w:p>
    <w:p>
      <w:pPr>
        <w:ind w:left="403" w:hanging="360"/>
      </w:pPr>
      <w:r>
        <w:t xml:space="preserve">3.  </w:t>
      </w:r>
      <w:r>
        <w:t>Đọc số ngày hệ thống tính. Quy tắc hiện tại tính ngày làm việc theo lịch cấu hình (thông thường thứ Hai–thứ Sáu), loại cuối tuần/ngày lễ; đơn qua năm có thể chia theo quỹ từng năm.</w:t>
      </w:r>
    </w:p>
    <w:p>
      <w:pPr>
        <w:ind w:left="403" w:hanging="360"/>
      </w:pPr>
      <w:r>
        <w:t xml:space="preserve">4.  </w:t>
      </w:r>
      <w:r>
        <w:t>Kiểm tra số dư. Hệ thống có thể chặn ngày trùng hoặc vượt quỹ.</w:t>
      </w:r>
    </w:p>
    <w:p>
      <w:pPr>
        <w:ind w:left="403" w:hanging="360"/>
      </w:pPr>
      <w:r>
        <w:t xml:space="preserve">5.  </w:t>
      </w:r>
      <w:r>
        <w:t>Gửi đơn và theo dõi trạng thái. Chỉ nghỉ sau khi được duyệt theo quy định công ty.</w:t>
      </w:r>
    </w:p>
    <w:p>
      <w:pPr>
        <w:ind w:left="403" w:hanging="360"/>
      </w:pPr>
      <w:r>
        <w:t xml:space="preserve">6.  </w:t>
      </w:r>
      <w:r>
        <w:t>Nếu cần sửa/hủy đơn đang chờ, báo người duyệt và làm theo quy trình nội bộ; tránh gửi đơn trùng.</w:t>
      </w:r>
    </w:p>
    <w:p>
      <w:pPr>
        <w:pStyle w:val="Heading3"/>
      </w:pPr>
      <w:r>
        <w:t>4.4 Công việc, KPI, tài liệu</w:t>
      </w:r>
    </w:p>
    <w:p>
      <w:r>
        <w:t xml:space="preserve">Mở </w:t>
      </w:r>
      <w:r>
        <w:rPr>
          <w:b/>
        </w:rPr>
        <w:t>Công việc</w:t>
      </w:r>
      <w:r>
        <w:t xml:space="preserve"> hoặc </w:t>
      </w:r>
      <w:r>
        <w:rPr>
          <w:b/>
        </w:rPr>
        <w:t>KPI</w:t>
      </w:r>
      <w:r>
        <w:t xml:space="preserve">, đọc yêu cầu, hạn và trạng thái; cập nhật tiến độ/kết quả trong mục tương ứng rồi lưu. Thiếu thông tin hoặc hạn không khả thi thì trao đổi với người giao việc. Trong </w:t>
      </w:r>
      <w:r>
        <w:rPr>
          <w:b/>
        </w:rPr>
        <w:t>Tài liệu</w:t>
      </w:r>
      <w:r>
        <w:t>, mở đúng hồ sơ và theo dõi duyệt; không tải lên thông tin vượt mục đích.</w:t>
      </w:r>
    </w:p>
    <w:p>
      <w:pPr>
        <w:pStyle w:val="Heading3"/>
      </w:pPr>
      <w:r>
        <w:t>4.5 Tệp đính kèm trên SharePoint</w:t>
      </w:r>
    </w:p>
    <w:p>
      <w:r>
        <w:t xml:space="preserve">Khi chức năng được cấu hình dùng SharePoint, người dùng vẫn đính kèm và mở tệp từ màn hình IHRMS như bình thường. IHRMS lưu tệp vào thư viện </w:t>
      </w:r>
      <w:r>
        <w:rPr>
          <w:rFonts w:ascii="Consolas" w:hAnsi="Consolas"/>
          <w:color w:val="505050"/>
          <w:sz w:val="18"/>
        </w:rPr>
        <w:t>Documents</w:t>
      </w:r>
      <w:r>
        <w:t xml:space="preserve">, trong thư mục nghiệp vụ như </w:t>
      </w:r>
      <w:r>
        <w:rPr>
          <w:rFonts w:ascii="Consolas" w:hAnsi="Consolas"/>
          <w:color w:val="505050"/>
          <w:sz w:val="18"/>
        </w:rPr>
        <w:t>CongVanDen</w:t>
      </w:r>
      <w:r>
        <w:t xml:space="preserve">, </w:t>
      </w:r>
      <w:r>
        <w:rPr>
          <w:rFonts w:ascii="Consolas" w:hAnsi="Consolas"/>
          <w:color w:val="505050"/>
          <w:sz w:val="18"/>
        </w:rPr>
        <w:t>CongVanDi</w:t>
      </w:r>
      <w:r>
        <w:t xml:space="preserve">, </w:t>
      </w:r>
      <w:r>
        <w:rPr>
          <w:rFonts w:ascii="Consolas" w:hAnsi="Consolas"/>
          <w:color w:val="505050"/>
          <w:sz w:val="18"/>
        </w:rPr>
        <w:t>DonNghiPhep</w:t>
      </w:r>
      <w:r>
        <w:t xml:space="preserve">, </w:t>
      </w:r>
      <w:r>
        <w:rPr>
          <w:rFonts w:ascii="Consolas" w:hAnsi="Consolas"/>
          <w:color w:val="505050"/>
          <w:sz w:val="18"/>
        </w:rPr>
        <w:t>HoSoUngVien</w:t>
      </w:r>
      <w:r>
        <w:t xml:space="preserve"> hoặc </w:t>
      </w:r>
      <w:r>
        <w:rPr>
          <w:rFonts w:ascii="Consolas" w:hAnsi="Consolas"/>
          <w:color w:val="505050"/>
          <w:sz w:val="18"/>
        </w:rPr>
        <w:t>TaiSanHinhAnh</w:t>
      </w:r>
      <w:r>
        <w:t>; tên thư mục thực tế do IT cấu hình. Nhân viên không cần tự tải tệp lên thư viện SharePoint.</w:t>
      </w:r>
    </w:p>
    <w:p>
      <w:pPr>
        <w:ind w:left="403" w:hanging="360"/>
      </w:pPr>
      <w:r>
        <w:t xml:space="preserve">1.  </w:t>
      </w:r>
      <w:r>
        <w:t>Chỉ chọn tệp đúng hồ sơ và đúng mục đích; xem lại người có quyền xem trước khi lưu.</w:t>
      </w:r>
    </w:p>
    <w:p>
      <w:pPr>
        <w:ind w:left="403" w:hanging="360"/>
      </w:pPr>
      <w:r>
        <w:t xml:space="preserve">2.  </w:t>
      </w:r>
      <w:r>
        <w:t>Sau khi lưu, mở lại bản ghi và dùng liên kết tệp trong IHRMS để xác nhận xem/tải được đúng tệp.</w:t>
      </w:r>
    </w:p>
    <w:p>
      <w:pPr>
        <w:ind w:left="403" w:hanging="360"/>
      </w:pPr>
      <w:r>
        <w:t xml:space="preserve">3.  </w:t>
      </w:r>
      <w:r>
        <w:t>Nếu tải lên hoặc mở tệp báo lỗi, ghi lại mục IHRMS, thời gian và mã lỗi rồi báo IT. Không tải lặp nhiều lần hoặc xóa tệp trực tiếp trong SharePoint để tự khắc phục; IT cần kiểm tra bản ghi và vị trí lưu trước.</w:t>
      </w:r>
    </w:p>
    <w:p>
      <w:pPr>
        <w:ind w:left="403" w:hanging="360"/>
      </w:pPr>
      <w:r>
        <w:t xml:space="preserve">4.  </w:t>
      </w:r>
      <w:r>
        <w:t>Tệp nhân sự, ứng viên, nghỉ phép và công văn có thể chứa dữ liệu hạn chế. Không chia sẻ liên kết thư viện rộng hơn quyền nghiệp vụ và không gửi tệp qua nhóm chat không được công ty duyệt.</w:t>
      </w:r>
    </w:p>
    <w:p>
      <w:r>
        <w:t>Kết quả smoke test tải lên/đọc lại/xóa tệp thử đã được xác nhận trên SharePoint. Điều đó xác nhận lưu trữ cơ bản; không có nghĩa mọi tính năng Microsoft 365 như email, Teams, SSO hay đồng tác giả Office đã được bật.</w:t>
      </w:r>
    </w:p>
    <w:p>
      <w:pPr>
        <w:pStyle w:val="Heading3"/>
      </w:pPr>
      <w:r>
        <w:t>4.6 Phiếu lương</w:t>
      </w:r>
    </w:p>
    <w:p>
      <w:r>
        <w:t xml:space="preserve">Mở </w:t>
      </w:r>
      <w:r>
        <w:rPr>
          <w:b/>
        </w:rPr>
        <w:t>Phiếu lương</w:t>
      </w:r>
      <w:r>
        <w:t>, chọn kỳ, kiểm tra Gross (tổng thu nhập), bảo hiểm, thuế, Net (thực nhận); tải PDF nếu cần. Chỉ xem/chia sẻ phiếu của bản thân. Không thấy kỳ mới thì có thể kỳ chưa được phát hành; hỏi Tài chính/Nhân sự.</w:t>
      </w:r>
    </w:p>
    <w:p>
      <w:pPr>
        <w:pStyle w:val="Heading3"/>
      </w:pPr>
      <w:r>
        <w:t>4.7 Dịch vụ văn phòng</w:t>
      </w:r>
    </w:p>
    <w:p>
      <w:r>
        <w:t>Các mục có thể gồm đặt phòng, đặt xe, văn phòng phẩm, lịch công tác, đào tạo. Chọn đúng mục, điền thời gian/mục đích/nội dung, gửi và theo dõi trạng thái. “Chờ duyệt” chưa có nghĩa là được chấp thuận.</w:t>
      </w:r>
    </w:p>
    <w:p>
      <w:pPr>
        <w:pStyle w:val="Heading2"/>
      </w:pPr>
      <w:r>
        <w:t>5. Người duyệt</w:t>
      </w:r>
    </w:p>
    <w:p>
      <w:pPr>
        <w:pStyle w:val="Heading3"/>
      </w:pPr>
      <w:r>
        <w:t>Duyệt nghỉ phép</w:t>
      </w:r>
    </w:p>
    <w:p>
      <w:r>
        <w:t xml:space="preserve">Mở </w:t>
      </w:r>
      <w:r>
        <w:rPr>
          <w:b/>
        </w:rPr>
        <w:t>Duyệt nghỉ phép</w:t>
      </w:r>
      <w:r>
        <w:t xml:space="preserve">; đọc nhân viên, loại/ngày/số ngày, lý do và số dư; kiểm tra lịch/phân công theo quy định. Chọn </w:t>
      </w:r>
      <w:r>
        <w:rPr>
          <w:b/>
        </w:rPr>
        <w:t>Duyệt</w:t>
      </w:r>
      <w:r>
        <w:t xml:space="preserve"> hoặc </w:t>
      </w:r>
      <w:r>
        <w:rPr>
          <w:b/>
        </w:rPr>
        <w:t>Từ chối</w:t>
      </w:r>
      <w:r>
        <w:t xml:space="preserve"> và ghi lý do từ chối. Chỉ xử lý trong phạm vi thẩm quyền.</w:t>
      </w:r>
    </w:p>
    <w:p>
      <w:pPr>
        <w:pStyle w:val="Heading3"/>
      </w:pPr>
      <w:r>
        <w:t>Duyệt chấm công</w:t>
      </w:r>
    </w:p>
    <w:p>
      <w:r>
        <w:t xml:space="preserve">Mở </w:t>
      </w:r>
      <w:r>
        <w:rPr>
          <w:b/>
        </w:rPr>
        <w:t>Duyệt chấm công</w:t>
      </w:r>
      <w:r>
        <w:t>, chọn tháng/bộ phận. Đối chiếu giờ, phân bổ dự án, nghỉ và giải trình/chứng từ theo quy định. Yêu cầu bổ sung khi thiếu; chỉ duyệt khi đã kiểm tra. Tổng hợp sau duyệt có thể không sửa trực tiếp và có thể được dùng để tính lương. Điều chỉnh phải theo quy trình có lưu vết.</w:t>
      </w:r>
    </w:p>
    <w:p>
      <w:pPr>
        <w:pStyle w:val="Heading3"/>
      </w:pPr>
      <w:r>
        <w:t>Duyệt tài liệu/yêu cầu</w:t>
      </w:r>
    </w:p>
    <w:p>
      <w:r>
        <w:t>Mở danh sách chờ duyệt tương ứng; đọc nội dung và tệp, kiểm tra đúng thẩm quyền, sau đó duyệt/từ chối kèm ghi chú. Không duyệt chỉ dựa trên tiêu đề khi có cam kết hoặc chi phí.</w:t>
      </w:r>
    </w:p>
    <w:p>
      <w:pPr>
        <w:pStyle w:val="Heading2"/>
      </w:pPr>
      <w:r>
        <w:t>6. Nhân sự</w:t>
      </w:r>
    </w:p>
    <w:p>
      <w:pPr>
        <w:pStyle w:val="Heading3"/>
      </w:pPr>
      <w:r>
        <w:t>Tiếp nhận nhân viên mới</w:t>
      </w:r>
    </w:p>
    <w:p>
      <w:pPr>
        <w:ind w:left="403" w:hanging="360"/>
      </w:pPr>
      <w:r>
        <w:t xml:space="preserve">1.  </w:t>
      </w:r>
      <w:r>
        <w:t xml:space="preserve">Mở </w:t>
      </w:r>
      <w:r>
        <w:rPr>
          <w:b/>
        </w:rPr>
        <w:t>NV &amp; Hồ sơ</w:t>
      </w:r>
      <w:r>
        <w:t>, thêm nhân viên.</w:t>
      </w:r>
    </w:p>
    <w:p>
      <w:pPr>
        <w:ind w:left="403" w:hanging="360"/>
      </w:pPr>
      <w:r>
        <w:t xml:space="preserve">2.  </w:t>
      </w:r>
      <w:r>
        <w:t>Nhập mã duy nhất; họ/tên; ngày sinh/giới tính; CCCD, mã số thuế, số BHXH khi có; email, điện thoại, địa chỉ; ngày vào/nghỉ; phòng ban, chức vụ, chức danh, quản lý, trạng thái.</w:t>
      </w:r>
    </w:p>
    <w:p>
      <w:pPr>
        <w:ind w:left="403" w:hanging="360"/>
      </w:pPr>
      <w:r>
        <w:t xml:space="preserve">3.  </w:t>
      </w:r>
      <w:r>
        <w:t>Kiểm tra mã, đơn vị, quản lý, ngày hiệu lực và căn cứ dữ liệu trước khi lưu.</w:t>
      </w:r>
    </w:p>
    <w:p>
      <w:pPr>
        <w:ind w:left="403" w:hanging="360"/>
      </w:pPr>
      <w:r>
        <w:t xml:space="preserve">4.  </w:t>
      </w:r>
      <w:r>
        <w:t xml:space="preserve">Tạo hợp đồng trong </w:t>
      </w:r>
      <w:r>
        <w:rPr>
          <w:b/>
        </w:rPr>
        <w:t>Hợp đồng</w:t>
      </w:r>
      <w:r>
        <w:t>: nhân viên, loại/số hợp đồng, ngày bắt đầu/kết thúc, lương cơ bản, trạng thái dự thảo/hiệu lực.</w:t>
      </w:r>
    </w:p>
    <w:p>
      <w:pPr>
        <w:ind w:left="403" w:hanging="360"/>
      </w:pPr>
      <w:r>
        <w:t xml:space="preserve">5.  </w:t>
      </w:r>
      <w:r>
        <w:t>Phối hợp quản trị tạo tài khoản và cấp đúng vai trò theo quy trình.</w:t>
      </w:r>
    </w:p>
    <w:p>
      <w:pPr>
        <w:pStyle w:val="Heading3"/>
      </w:pPr>
      <w:r>
        <w:t>Thay đổi nhân sự, tuyển dụng, lịch</w:t>
      </w:r>
    </w:p>
    <w:p>
      <w:r>
        <w:t>Ghi ngày hiệu lực chính xác cho điều chuyển/thay đổi; không áp dụng thay đổi tương lai sớm và không sửa lịch sử tùy tiện. Theo dõi ứng viên, trạng thái và hồ sơ; đề xuất tuyển dụng phải được duyệt mới xem là nhu cầu được chấp thuận. Khi cập nhật ngày lễ/lịch, rà ảnh hưởng tới phép và công.</w:t>
      </w:r>
    </w:p>
    <w:p>
      <w:pPr>
        <w:pStyle w:val="Heading2"/>
      </w:pPr>
      <w:r>
        <w:t>7. Tài chính — chạy lương</w:t>
      </w:r>
    </w:p>
    <w:p>
      <w:r>
        <w:t>Chỉ người được giao nhiệm vụ mới chạy lương. Kỳ khóa là kỳ đã chốt; không thể coi như kỳ đang mở.</w:t>
      </w:r>
    </w:p>
    <w:p>
      <w:pPr>
        <w:pStyle w:val="Heading3"/>
      </w:pPr>
      <w:r>
        <w:t>Trước khi chạy</w:t>
      </w:r>
    </w:p>
    <w:p>
      <w:pPr>
        <w:pStyle w:val="ListBullet"/>
      </w:pPr>
      <w:r>
        <w:t>Kiểm tra kỳ, nhân viên, hợp đồng/lương có hiệu lực.</w:t>
      </w:r>
    </w:p>
    <w:p>
      <w:pPr>
        <w:pStyle w:val="ListBullet"/>
      </w:pPr>
      <w:r>
        <w:t>Xác nhận công đã duyệt; đối soát tăng ca, phụ cấp, khấu trừ và dữ liệu liên quan.</w:t>
      </w:r>
    </w:p>
    <w:p>
      <w:pPr>
        <w:pStyle w:val="ListBullet"/>
      </w:pPr>
      <w:r>
        <w:t>Kiểm tra cấu hình thuế, giảm trừ, bảo hiểm, người phụ thuộc.</w:t>
      </w:r>
    </w:p>
    <w:p>
      <w:pPr>
        <w:pStyle w:val="ListBullet"/>
      </w:pPr>
      <w:r>
        <w:t>Có người kiểm tra độc lập theo quy trình công ty.</w:t>
      </w:r>
    </w:p>
    <w:p>
      <w:pPr>
        <w:pStyle w:val="Heading3"/>
      </w:pPr>
      <w:r>
        <w:t>Trên màn hình</w:t>
      </w:r>
    </w:p>
    <w:p>
      <w:pPr>
        <w:ind w:left="403" w:hanging="360"/>
      </w:pPr>
      <w:r>
        <w:t xml:space="preserve">1.  </w:t>
      </w:r>
      <w:r>
        <w:t xml:space="preserve">Mở </w:t>
      </w:r>
      <w:r>
        <w:rPr>
          <w:b/>
        </w:rPr>
        <w:t>Chạy lương hàng tháng</w:t>
      </w:r>
      <w:r>
        <w:t xml:space="preserve"> và chọn </w:t>
      </w:r>
      <w:r>
        <w:rPr>
          <w:b/>
        </w:rPr>
        <w:t>Tạo kỳ lương</w:t>
      </w:r>
      <w:r>
        <w:t>.</w:t>
      </w:r>
    </w:p>
    <w:p>
      <w:pPr>
        <w:ind w:left="403" w:hanging="360"/>
      </w:pPr>
      <w:r>
        <w:t xml:space="preserve">2.  </w:t>
      </w:r>
      <w:r>
        <w:t>Chọn đúng kỳ; lưu.</w:t>
      </w:r>
    </w:p>
    <w:p>
      <w:pPr>
        <w:ind w:left="403" w:hanging="360"/>
      </w:pPr>
      <w:r>
        <w:t xml:space="preserve">3.  </w:t>
      </w:r>
      <w:r>
        <w:t xml:space="preserve">Chọn </w:t>
      </w:r>
      <w:r>
        <w:rPr>
          <w:b/>
        </w:rPr>
        <w:t>Tạo bảng lương cho nhân viên còn thiếu</w:t>
      </w:r>
      <w:r>
        <w:t>.</w:t>
      </w:r>
    </w:p>
    <w:p>
      <w:pPr>
        <w:ind w:left="403" w:hanging="360"/>
      </w:pPr>
      <w:r>
        <w:t xml:space="preserve">4.  </w:t>
      </w:r>
      <w:r>
        <w:t xml:space="preserve">Đối chiếu </w:t>
      </w:r>
      <w:r>
        <w:rPr>
          <w:b/>
        </w:rPr>
        <w:t>Lương CB</w:t>
      </w:r>
      <w:r>
        <w:t xml:space="preserve">, </w:t>
      </w:r>
      <w:r>
        <w:rPr>
          <w:b/>
        </w:rPr>
        <w:t>Lương đóng BH</w:t>
      </w:r>
      <w:r>
        <w:t xml:space="preserve">, </w:t>
      </w:r>
      <w:r>
        <w:rPr>
          <w:b/>
        </w:rPr>
        <w:t>Phụ cấp</w:t>
      </w:r>
      <w:r>
        <w:t xml:space="preserve">, </w:t>
      </w:r>
      <w:r>
        <w:rPr>
          <w:b/>
        </w:rPr>
        <w:t>Tăng ca</w:t>
      </w:r>
      <w:r>
        <w:t xml:space="preserve">, </w:t>
      </w:r>
      <w:r>
        <w:rPr>
          <w:b/>
        </w:rPr>
        <w:t>TC miễn thuế</w:t>
      </w:r>
      <w:r>
        <w:t xml:space="preserve">, </w:t>
      </w:r>
      <w:r>
        <w:rPr>
          <w:b/>
        </w:rPr>
        <w:t>Khấu trừ khác</w:t>
      </w:r>
      <w:r>
        <w:t>.</w:t>
      </w:r>
    </w:p>
    <w:p>
      <w:pPr>
        <w:ind w:left="403" w:hanging="360"/>
      </w:pPr>
      <w:r>
        <w:t xml:space="preserve">5.  </w:t>
      </w:r>
      <w:r>
        <w:t xml:space="preserve">Chọn </w:t>
      </w:r>
      <w:r>
        <w:rPr>
          <w:b/>
        </w:rPr>
        <w:t>Tính lương toàn bộ kỳ này</w:t>
      </w:r>
      <w:r>
        <w:t>.</w:t>
      </w:r>
    </w:p>
    <w:p>
      <w:pPr>
        <w:ind w:left="403" w:hanging="360"/>
      </w:pPr>
      <w:r>
        <w:t xml:space="preserve">6.  </w:t>
      </w:r>
      <w:r>
        <w:t>Rà từng nhân viên và tổng kỳ: Gross, bảo hiểm, thuế, Net; so sánh bảng đối soát độc lập, xử lý sai lệch trước khi chốt.</w:t>
      </w:r>
    </w:p>
    <w:p>
      <w:pPr>
        <w:ind w:left="403" w:hanging="360"/>
      </w:pPr>
      <w:r>
        <w:t xml:space="preserve">7.  </w:t>
      </w:r>
      <w:r>
        <w:t xml:space="preserve">Người có thẩm quyền chọn </w:t>
      </w:r>
      <w:r>
        <w:rPr>
          <w:b/>
        </w:rPr>
        <w:t>Khóa kỳ lương</w:t>
      </w:r>
      <w:r>
        <w:t xml:space="preserve"> sau khi hoàn tất kiểm tra/phê duyệt. Đọc lại kỳ trước khi bấm.</w:t>
      </w:r>
    </w:p>
    <w:p>
      <w:pPr>
        <w:ind w:left="403" w:hanging="360"/>
      </w:pPr>
      <w:r>
        <w:t xml:space="preserve">8.  </w:t>
      </w:r>
      <w:r>
        <w:t xml:space="preserve">Chọn </w:t>
      </w:r>
      <w:r>
        <w:rPr>
          <w:b/>
        </w:rPr>
        <w:t>Phát hành phiếu lương PDF</w:t>
      </w:r>
      <w:r>
        <w:t>; kiểm tra phát hành và xác nhận nhân viên xem được đúng phiếu của mình.</w:t>
      </w:r>
    </w:p>
    <w:p>
      <w:r>
        <w:t>Không đổi cấu hình có hiệu lực quá khứ để sửa nhanh kỳ đã chốt. Dùng cấu hình mới có ngày hiệu lực phù hợp và quy trình điều chỉnh được phê duyệt. Cấu hình thuế/bảo hiểm, lương cơ bản và người phụ thuộc ảnh hưởng trực tiếp kết quả; nhập theo căn cứ đã duyệt và nhờ người thứ hai rà soát.</w:t>
      </w:r>
    </w:p>
    <w:p>
      <w:pPr>
        <w:pStyle w:val="Heading2"/>
      </w:pPr>
      <w:r>
        <w:t>8. Công văn, tài sản, kiểm kê</w:t>
      </w:r>
    </w:p>
    <w:p>
      <w:pPr>
        <w:pStyle w:val="Heading3"/>
      </w:pPr>
      <w:r>
        <w:t>Công văn</w:t>
      </w:r>
    </w:p>
    <w:p>
      <w:r>
        <w:t>Nhập loại, số/ký hiệu, trích yếu, cơ quan, ngày ban hành/nhận/gửi, khẩn/mật, đơn vị xử lý, người phụ trách, người ký, hạn và bản scan. Soát phân loại mật/người nhận trước khi lưu; cập nhật tiến độ tại chi tiết.</w:t>
      </w:r>
    </w:p>
    <w:p>
      <w:pPr>
        <w:pStyle w:val="Heading3"/>
      </w:pPr>
      <w:r>
        <w:t>Kiểm kê và thanh lý</w:t>
      </w:r>
    </w:p>
    <w:p>
      <w:r>
        <w:t>Phiên kiểm kê liệt kê tài sản; kiểm đếm từng dòng, ghi tình trạng/vị trí và xử lý chênh lệch. Không hoàn tất nếu còn dòng chưa kiểm; phiên hoàn tất sẽ đóng chỉnh sửa. Thanh lý theo chuỗi đề nghị → phê duyệt → biên bản → quyết định → xác nhận thực hiện. Chỉ xác nhận sau khi thanh lý thực tế; bước cuối có thể đổi trạng thái tài sản.</w:t>
      </w:r>
    </w:p>
    <w:p>
      <w:pPr>
        <w:pStyle w:val="Heading2"/>
      </w:pPr>
      <w:r>
        <w:t>9. Báo cáo và bảo mật</w:t>
      </w:r>
    </w:p>
    <w:p>
      <w:r>
        <w:t>Báo cáo có thể gồm công/nghỉ, biến động nhân sự, số lượng nhân sự so kế hoạch, ngân sách so chi tiêu. Chọn đúng kỳ/bộ lọc và kiểm tra ngày cập nhật. Chỉ chia sẻ báo cáo nhân sự/lương cho người có thẩm quyền; lưu tệp xuất tại nơi công ty cho phép.</w:t>
      </w:r>
    </w:p>
    <w:p>
      <w:pPr>
        <w:pStyle w:val="Heading2"/>
      </w:pPr>
      <w:r>
        <w:t>10. Xử lý sự cố</w:t>
      </w:r>
    </w:p>
    <w:tbl>
      <w:tblPr>
        <w:tblStyle w:val="LightShading-Accent1"/>
        <w:tblW w:type="auto" w:w="0"/>
        <w:jc w:val="center"/>
        <w:tblLook w:firstColumn="1" w:firstRow="1" w:lastColumn="0" w:lastRow="0" w:noHBand="0" w:noVBand="1" w:val="04A0"/>
      </w:tblPr>
      <w:tblGrid>
        <w:gridCol w:w="4997"/>
        <w:gridCol w:w="4997"/>
      </w:tblGrid>
      <w:tr>
        <w:tc>
          <w:tcPr>
            <w:tcW w:type="dxa" w:w="4997"/>
            <w:vAlign w:val="center"/>
            <w:shd w:fill="1F4E79"/>
          </w:tcPr>
          <w:p>
            <w:r>
              <w:rPr>
                <w:b/>
                <w:color w:val="FFFFFF"/>
                <w:sz w:val="18"/>
              </w:rPr>
            </w:r>
            <w:r>
              <w:rPr>
                <w:b/>
                <w:color w:val="FFFFFF"/>
                <w:sz w:val="18"/>
              </w:rPr>
              <w:t>Tình huống</w:t>
            </w:r>
          </w:p>
        </w:tc>
        <w:tc>
          <w:tcPr>
            <w:tcW w:type="dxa" w:w="4997"/>
            <w:vAlign w:val="center"/>
            <w:shd w:fill="1F4E79"/>
          </w:tcPr>
          <w:p>
            <w:r>
              <w:rPr>
                <w:b/>
                <w:color w:val="FFFFFF"/>
                <w:sz w:val="18"/>
              </w:rPr>
            </w:r>
            <w:r>
              <w:rPr>
                <w:b/>
                <w:color w:val="FFFFFF"/>
                <w:sz w:val="18"/>
              </w:rPr>
              <w:t>Việc nên làm</w:t>
            </w:r>
          </w:p>
        </w:tc>
      </w:tr>
      <w:tr>
        <w:tc>
          <w:tcPr>
            <w:tcW w:type="dxa" w:w="4997"/>
            <w:vAlign w:val="center"/>
          </w:tcPr>
          <w:p>
            <w:r>
              <w:rPr>
                <w:sz w:val="18"/>
              </w:rPr>
            </w:r>
            <w:r>
              <w:rPr>
                <w:sz w:val="18"/>
              </w:rPr>
              <w:t>Không thấy menu</w:t>
            </w:r>
          </w:p>
        </w:tc>
        <w:tc>
          <w:tcPr>
            <w:tcW w:type="dxa" w:w="4997"/>
            <w:vAlign w:val="center"/>
          </w:tcPr>
          <w:p>
            <w:r>
              <w:rPr>
                <w:sz w:val="18"/>
              </w:rPr>
            </w:r>
            <w:r>
              <w:rPr>
                <w:sz w:val="18"/>
              </w:rPr>
              <w:t>Yêu cầu kiểm tra vai trò; không mượn tài khoản.</w:t>
            </w:r>
          </w:p>
        </w:tc>
      </w:tr>
      <w:tr>
        <w:tc>
          <w:tcPr>
            <w:tcW w:type="dxa" w:w="4997"/>
            <w:vAlign w:val="center"/>
            <w:shd w:fill="EAF1F8"/>
          </w:tcPr>
          <w:p>
            <w:r>
              <w:rPr>
                <w:sz w:val="18"/>
              </w:rPr>
            </w:r>
            <w:r>
              <w:rPr>
                <w:sz w:val="18"/>
              </w:rPr>
              <w:t>Bị từ chối truy cập</w:t>
            </w:r>
          </w:p>
        </w:tc>
        <w:tc>
          <w:tcPr>
            <w:tcW w:type="dxa" w:w="4997"/>
            <w:vAlign w:val="center"/>
            <w:shd w:fill="EAF1F8"/>
          </w:tcPr>
          <w:p>
            <w:r>
              <w:rPr>
                <w:sz w:val="18"/>
              </w:rPr>
            </w:r>
            <w:r>
              <w:rPr>
                <w:sz w:val="18"/>
              </w:rPr>
              <w:t>Ghi URL/thời điểm, báo quản trị; không sửa URL để vượt quyền.</w:t>
            </w:r>
          </w:p>
        </w:tc>
      </w:tr>
      <w:tr>
        <w:tc>
          <w:tcPr>
            <w:tcW w:type="dxa" w:w="4997"/>
            <w:vAlign w:val="center"/>
          </w:tcPr>
          <w:p>
            <w:r>
              <w:rPr>
                <w:sz w:val="18"/>
              </w:rPr>
            </w:r>
            <w:r>
              <w:rPr>
                <w:sz w:val="18"/>
              </w:rPr>
              <w:t>Đơn nghỉ không lưu</w:t>
            </w:r>
          </w:p>
        </w:tc>
        <w:tc>
          <w:tcPr>
            <w:tcW w:type="dxa" w:w="4997"/>
            <w:vAlign w:val="center"/>
          </w:tcPr>
          <w:p>
            <w:r>
              <w:rPr>
                <w:sz w:val="18"/>
              </w:rPr>
            </w:r>
            <w:r>
              <w:rPr>
                <w:sz w:val="18"/>
              </w:rPr>
              <w:t>Kiểm tra ngày, trùng lặp và số dư; báo Nhân sự nếu dữ liệu nền sai.</w:t>
            </w:r>
          </w:p>
        </w:tc>
      </w:tr>
      <w:tr>
        <w:tc>
          <w:tcPr>
            <w:tcW w:type="dxa" w:w="4997"/>
            <w:vAlign w:val="center"/>
            <w:shd w:fill="EAF1F8"/>
          </w:tcPr>
          <w:p>
            <w:r>
              <w:rPr>
                <w:sz w:val="18"/>
              </w:rPr>
            </w:r>
            <w:r>
              <w:rPr>
                <w:sz w:val="18"/>
              </w:rPr>
              <w:t>Công đã duyệt không sửa được</w:t>
            </w:r>
          </w:p>
        </w:tc>
        <w:tc>
          <w:tcPr>
            <w:tcW w:type="dxa" w:w="4997"/>
            <w:vAlign w:val="center"/>
            <w:shd w:fill="EAF1F8"/>
          </w:tcPr>
          <w:p>
            <w:r>
              <w:rPr>
                <w:sz w:val="18"/>
              </w:rPr>
            </w:r>
            <w:r>
              <w:rPr>
                <w:sz w:val="18"/>
              </w:rPr>
              <w:t>Yêu cầu quy trình điều chỉnh, không tạo dữ liệu thay thế gây lệch.</w:t>
            </w:r>
          </w:p>
        </w:tc>
      </w:tr>
      <w:tr>
        <w:tc>
          <w:tcPr>
            <w:tcW w:type="dxa" w:w="4997"/>
            <w:vAlign w:val="center"/>
          </w:tcPr>
          <w:p>
            <w:r>
              <w:rPr>
                <w:sz w:val="18"/>
              </w:rPr>
            </w:r>
            <w:r>
              <w:rPr>
                <w:sz w:val="18"/>
              </w:rPr>
              <w:t>Chưa có phiếu lương</w:t>
            </w:r>
          </w:p>
        </w:tc>
        <w:tc>
          <w:tcPr>
            <w:tcW w:type="dxa" w:w="4997"/>
            <w:vAlign w:val="center"/>
          </w:tcPr>
          <w:p>
            <w:r>
              <w:rPr>
                <w:sz w:val="18"/>
              </w:rPr>
            </w:r>
            <w:r>
              <w:rPr>
                <w:sz w:val="18"/>
              </w:rPr>
              <w:t>Hỏi Tài chính kỳ đã phát hành chưa. Không chia sẻ bảng lương chung.</w:t>
            </w:r>
          </w:p>
        </w:tc>
      </w:tr>
      <w:tr>
        <w:tc>
          <w:tcPr>
            <w:tcW w:type="dxa" w:w="4997"/>
            <w:vAlign w:val="center"/>
            <w:shd w:fill="EAF1F8"/>
          </w:tcPr>
          <w:p>
            <w:r>
              <w:rPr>
                <w:sz w:val="18"/>
              </w:rPr>
            </w:r>
            <w:r>
              <w:rPr>
                <w:sz w:val="18"/>
              </w:rPr>
              <w:t>Trang/PDF lỗi</w:t>
            </w:r>
          </w:p>
        </w:tc>
        <w:tc>
          <w:tcPr>
            <w:tcW w:type="dxa" w:w="4997"/>
            <w:vAlign w:val="center"/>
            <w:shd w:fill="EAF1F8"/>
          </w:tcPr>
          <w:p>
            <w:r>
              <w:rPr>
                <w:sz w:val="18"/>
              </w:rPr>
            </w:r>
            <w:r>
              <w:rPr>
                <w:sz w:val="18"/>
              </w:rPr>
              <w:t>Ghi màn hình, bước thao tác, thời gian và thông báo; che thông tin cá nhân khi chụp.</w:t>
            </w:r>
          </w:p>
        </w:tc>
      </w:tr>
      <w:tr>
        <w:tc>
          <w:tcPr>
            <w:tcW w:type="dxa" w:w="4997"/>
            <w:vAlign w:val="center"/>
          </w:tcPr>
          <w:p>
            <w:r>
              <w:rPr>
                <w:sz w:val="18"/>
              </w:rPr>
            </w:r>
            <w:r>
              <w:rPr>
                <w:sz w:val="18"/>
              </w:rPr>
              <w:t>Tệp đính kèm không tải/mở được</w:t>
            </w:r>
          </w:p>
        </w:tc>
        <w:tc>
          <w:tcPr>
            <w:tcW w:type="dxa" w:w="4997"/>
            <w:vAlign w:val="center"/>
          </w:tcPr>
          <w:p>
            <w:r>
              <w:rPr>
                <w:sz w:val="18"/>
              </w:rPr>
            </w:r>
            <w:r>
              <w:rPr>
                <w:sz w:val="18"/>
              </w:rPr>
              <w:t>Không thử xóa ở SharePoint hoặc gửi bản sao qua kênh không duyệt. Ghi mục IHRMS, tên hồ sơ/mã bản ghi, thời gian và thông báo; báo IT kiểm tra quyền và trạng thái lưu.</w:t>
            </w:r>
          </w:p>
        </w:tc>
      </w:tr>
      <w:tr>
        <w:tc>
          <w:tcPr>
            <w:tcW w:type="dxa" w:w="4997"/>
            <w:vAlign w:val="center"/>
            <w:shd w:fill="EAF1F8"/>
          </w:tcPr>
          <w:p>
            <w:r>
              <w:rPr>
                <w:sz w:val="18"/>
              </w:rPr>
            </w:r>
            <w:r>
              <w:rPr>
                <w:sz w:val="18"/>
              </w:rPr>
              <w:t>Gửi IT</w:t>
            </w:r>
          </w:p>
        </w:tc>
        <w:tc>
          <w:tcPr>
            <w:tcW w:type="dxa" w:w="4997"/>
            <w:vAlign w:val="center"/>
            <w:shd w:fill="EAF1F8"/>
          </w:tcPr>
          <w:p>
            <w:r>
              <w:rPr>
                <w:sz w:val="18"/>
              </w:rPr>
            </w:r>
            <w:r>
              <w:rPr>
                <w:sz w:val="18"/>
              </w:rPr>
              <w:t>Ghi người báo/mã NV, thời điểm, URL, các bước, kết quả mong đợi/thực tế, mã lỗi, mức ảnh hưởng. Tuyệt đối không gửi mật khẩu, SECRET_KEY hay chuỗi kết nối.</w:t>
            </w:r>
          </w:p>
        </w:tc>
      </w:tr>
    </w:tbl>
    <w:p>
      <w:pPr>
        <w:spacing w:after="20"/>
      </w:pPr>
    </w:p>
    <w:p>
      <w:pPr>
        <w:pStyle w:val="Heading2"/>
      </w:pPr>
      <w:r>
        <w:t>11. Tự kiểm tra</w:t>
      </w:r>
    </w:p>
    <w:p>
      <w:pPr>
        <w:pStyle w:val="ListBullet"/>
      </w:pPr>
      <w:r>
        <w:t>Tôi biết đăng xuất trên máy dùng chung.</w:t>
      </w:r>
    </w:p>
    <w:p>
      <w:pPr>
        <w:pStyle w:val="ListBullet"/>
      </w:pPr>
      <w:r>
        <w:t>Tôi biết gửi đơn nghỉ và kiểm tra trạng thái.</w:t>
      </w:r>
    </w:p>
    <w:p>
      <w:pPr>
        <w:pStyle w:val="ListBullet"/>
      </w:pPr>
      <w:r>
        <w:t>Tôi hiểu công đã duyệt cần quy trình điều chỉnh.</w:t>
      </w:r>
    </w:p>
    <w:p>
      <w:pPr>
        <w:pStyle w:val="ListBullet"/>
      </w:pPr>
      <w:r>
        <w:t>Tôi chỉ tải phiếu lương của bản thân.</w:t>
      </w:r>
    </w:p>
    <w:p>
      <w:pPr>
        <w:pStyle w:val="ListBullet"/>
      </w:pPr>
      <w:r>
        <w:t>Tôi biết báo lỗi mà không gửi bí mật.</w:t>
      </w:r>
    </w:p>
    <w:p>
      <w:r>
        <w:rPr>
          <w:b/>
        </w:rPr>
        <w:t>Tài liệu đi kèm:</w:t>
      </w:r>
      <w:r>
        <w:t xml:space="preserve"> Giáo án và bài thực hành tập huấn. Bản đánh giá triển khai hiện hành: Production Readiness Review. Bản review ngày 23/09 là snapshot lịch sử.</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cs="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20" w:after="0"/>
      <w:outlineLvl w:val="1"/>
    </w:pPr>
    <w:rPr>
      <w:rFonts w:asciiTheme="majorHAnsi" w:eastAsiaTheme="majorEastAsia" w:hAnsiTheme="majorHAnsi" w:cstheme="majorBidi" w:ascii="Arial" w:hAnsi="Arial" w:eastAsia="Arial" w:cs="Arial"/>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Cẩm nang sử dụng IHRMS</dc:title>
  <dc:subject>Hướng dẫn thao tác theo vai trò trong IHRMS</dc:subject>
  <dc:creator>Công ty VietHealth</dc:creator>
  <cp:keywords/>
  <dc:description>generated by python-docx</dc:description>
  <cp:lastModifiedBy/>
  <cp:revision>1</cp:revision>
  <dcterms:created xsi:type="dcterms:W3CDTF">2013-12-23T23:15:00Z</dcterms:created>
  <dcterms:modified xsi:type="dcterms:W3CDTF">2013-12-23T23:15:00Z</dcterms:modified>
  <cp:category/>
</cp:coreProperties>
</file>