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CL - Biz - Report 2026.06</w:t>
      </w:r>
    </w:p>
    <w:p>
      <w:pPr>
        <w:spacing w:after="40"/>
      </w:pPr>
      <w:r>
        <w:rPr>
          <w:b w:val="0"/>
          <w:color w:val="595959"/>
          <w:sz w:val="18"/>
        </w:rPr>
        <w:t>Cash Loan (CL) monthly business report  •  Reporting month: June 2026  •  Latest actual: Jun-26  •  Forecast month: Jul-26</w:t>
      </w:r>
    </w:p>
    <w:p>
      <w:pPr>
        <w:spacing w:after="160"/>
      </w:pPr>
      <w:r>
        <w:rPr>
          <w:b w:val="0"/>
          <w:color w:val="595959"/>
          <w:sz w:val="17"/>
        </w:rPr>
        <w:t>Data basis. Figures are drawn from the Annual Plan / KPI sheet and the Initiative Tracker (status as of end-June 2026). Structure follows the fixed four-part format; each section is split into Structural ceiling unlocks and Incremental acquisition / retention improvements.</w:t>
      </w:r>
    </w:p>
    <w:p>
      <w:pPr>
        <w:spacing w:after="60"/>
      </w:pPr>
      <w:r>
        <w:rPr>
          <w:b/>
          <w:color w:val="1F4E79"/>
          <w:sz w:val="22"/>
        </w:rPr>
        <w:t>KPI snapshot — Cash Loan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Metric (Cash Loan)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May-26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MoM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 Plan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vs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Eligible Base For Cash Loan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%Eligible/Total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Traffic to Landing Page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%Traffic/Eligible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Submission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%Submission/Traffic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Approved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%Approval Rate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-5pp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Average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Disbursement Volume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71,543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98,596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107,191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</w:tbl>
    <w:p>
      <w:pPr>
        <w:spacing w:after="80"/>
      </w:pPr>
      <w:r>
        <w:rPr>
          <w:b/>
        </w:rPr>
        <w:t xml:space="preserve">Read: </w:t>
      </w:r>
      <w:r>
        <w:t>June disbursement reached VNDm 98,596, up 38% MoM driven by a 38% surge in traffic and approvals, though remaining 8% below plan due to a 5pp shortfall in approval rates. The eligible base and ticket size remained stable, while traffic conversion to eligible users improved by 10pp.</w:t>
      </w:r>
    </w:p>
    <w:p>
      <w:pPr>
        <w:pStyle w:val="Heading1"/>
      </w:pPr>
      <w:r>
        <w:rPr>
          <w:b/>
          <w:color w:val="1F4E79"/>
        </w:rPr>
        <w:t>1. Performance Overview and Analysis</w:t>
      </w:r>
    </w:p>
    <w:p>
      <w:pPr>
        <w:spacing w:after="80"/>
      </w:pPr>
      <w:r>
        <w:rPr>
          <w:b/>
        </w:rPr>
        <w:t xml:space="preserve">Headline. </w:t>
      </w:r>
      <w:r>
        <w:t>Disbursement grew 38% MoM to VNDm 98,596, missing the June plan by 8% primarily due to a 5pp approval rate gap despite traffic and eligible base performing on plan.</w:t>
      </w:r>
    </w:p>
    <w:p>
      <w:pPr>
        <w:spacing w:after="80"/>
      </w:pPr>
      <w:r>
        <w:rPr>
          <w:b/>
        </w:rPr>
        <w:t xml:space="preserve">MoM bridge (fact). </w:t>
      </w:r>
      <w:r>
        <w:t>Growth decomposes into Eligible Base x1.05 and Approval Rate x1.00 (stable), but driven by Traffic/Eligible x1.31 (32% to 42%) and Submission/Traffic x1.00; 1.05 x 1.31 x 1.00 x 1.00 ~= 1.38, i.e. +38%.</w:t>
      </w:r>
    </w:p>
    <w:p>
      <w:pPr>
        <w:spacing w:after="80"/>
      </w:pPr>
      <w:r>
        <w:rPr>
          <w:b/>
        </w:rPr>
        <w:t xml:space="preserve">Plan-miss bridge (fact). </w:t>
      </w:r>
      <w:r>
        <w:t>The 8% miss vs plan (VNDm 107,191) is fully attributed to the Approval Rate gap of -5pp (actual 65% vs plan 70%), as Traffic, Eligible Base, and Ticket Size all met or exceeded targets.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Eligible Base: Stable at 35% of total users; Initiative #1.0 (Persona 1) live since 7/6 delivered expected uplift, but Initiative #2.0 (Persona 1) delayed to Oct-26 due to missing API risk-based pricing scope.</w:t>
      </w:r>
    </w:p>
    <w:p>
      <w:pPr>
        <w:pStyle w:val="ListBullet"/>
      </w:pPr>
      <w:r>
        <w:t>Approval Rate: Missed plan by 5pp; Initiative #3.0 (Persona 2) remains on track for Sep-26 but current model v1 Gini scores are below expectations, limiting immediate scoring improvements.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Traffic/Eligible: Exceeded plan by 10pp (42% vs 35%); Initiative #4.0 (Persona 3) live since 7/6 successfully unlocked new demand, while Initiative #6.0 (Persona 3) contributed incremental channel traffic.</w:t>
      </w:r>
    </w:p>
    <w:p>
      <w:pPr>
        <w:pStyle w:val="ListBullet"/>
      </w:pPr>
      <w:r>
        <w:t>Submission/Traffic: Met plan at 14%; Initiatives #8.0 and #9.0 (Persona 1) live since Feb/Mar-26 maintained conversion stability despite traffic volume increases.</w:t>
      </w:r>
    </w:p>
    <w:p>
      <w:pPr>
        <w:pStyle w:val="Heading1"/>
      </w:pPr>
      <w:r>
        <w:rPr>
          <w:b/>
          <w:color w:val="1F4E79"/>
        </w:rPr>
        <w:t>2. Next Month (July) Run-Rate and Key Initiatives</w:t>
      </w:r>
    </w:p>
    <w:p>
      <w:pPr>
        <w:spacing w:after="80"/>
      </w:pPr>
      <w:r>
        <w:rPr>
          <w:b/>
        </w:rPr>
        <w:t xml:space="preserve">Run-rate. </w:t>
      </w:r>
      <w:r>
        <w:t>July disbursement run-rate is projected at VNDm 103,525 (+5% MoM), yet remains 23% below the July plan of VNDm 134,754 due to persistent approval rate constraints.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Approval Rate: No immediate structural unlock expected in July; reliance on Initiative #3.0 (Persona 2) optimization remains critical for Sep-26 delivery.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Traffic: Initiative #7.0 (Persona 3) deprioritized to Q4-26 due to Cashier team capacity constraints, limiting potential +2pp traffic uplift in July.</w:t>
      </w:r>
    </w:p>
    <w:p>
      <w:pPr>
        <w:pStyle w:val="Heading1"/>
      </w:pPr>
      <w:r>
        <w:rPr>
          <w:b/>
          <w:color w:val="1F4E79"/>
        </w:rPr>
        <w:t>3. Top Priorities for Next Month (July)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Objective / 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 &amp; owner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Target outcome &amp; why it matters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#3.0 (Persona 2)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Close the 5pp gap to plan by optimizing model v1 Gini scores before Sep-26 launch to unlock disbursement volume.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#2.0 (Persona 1)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Resolve API risk-based pricing scope to avoid further delays beyond Oct-26, targeting +10pp eligible base uplift.</w:t>
            </w:r>
          </w:p>
        </w:tc>
      </w:tr>
    </w:tbl>
    <w:p>
      <w:pPr>
        <w:pStyle w:val="Heading1"/>
      </w:pPr>
      <w:r>
        <w:rPr>
          <w:b/>
          <w:color w:val="1F4E79"/>
        </w:rPr>
        <w:t>4. Progress Toward Annual Plan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Confidence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#1.0 landed (+10pp); Initiative #2.0 delayed to Oct-26; Initiative #3.0 on track for Sep-26 (+15pp).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Current model underperforming; new scoring model (Initiative #3.0) pending Sep-26.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On track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Traffic Acquisition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#4.0 landed (+10pp); Initiative #7.0 deprioritized to Q4.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+10pp (landed)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Conversion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Initiatives #8.0 and #9.0 live; Initiative #10.0 delayed.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+4pp (landed)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On track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YTD vs plan and FY outlook</w:t>
      </w:r>
    </w:p>
    <w:p>
      <w:pPr>
        <w:spacing w:after="80"/>
      </w:pPr>
      <w:r>
        <w:rPr>
          <w:b w:val="0"/>
        </w:rPr>
        <w:t>YTD disbursement stands at VNDm 277,174, missing the plan of VNDm 339,865 by 18%. To hit the FY plan of VNDm 1,879,405, the business must recover the approval rate gap via Initiative #3.0 in Q3 and accelerate Initiative #2.0 to Q4, assuming traffic growth remains stable.</w:t>
      </w:r>
    </w:p>
    <w:p>
      <w:pPr>
        <w:spacing w:after="60"/>
      </w:pPr>
      <w:r>
        <w:rPr>
          <w:b/>
          <w:color w:val="1F4E79"/>
          <w:sz w:val="22"/>
        </w:rPr>
        <w:t>Risks, dependencies &amp; escalations</w:t>
      </w:r>
    </w:p>
    <w:p>
      <w:pPr>
        <w:pStyle w:val="ListBullet"/>
      </w:pPr>
      <w:r>
        <w:t>Initiative #2.0 (Persona 1): High risk of further delay beyond Oct-26 if API risk-based pricing scope is not resolved, threatening eligible base targets.</w:t>
      </w:r>
    </w:p>
    <w:p>
      <w:pPr>
        <w:pStyle w:val="ListBullet"/>
      </w:pPr>
      <w:r>
        <w:t>Initiative #3.0 (Persona 2): Medium risk that model v1 optimization fails to meet Gini expectations, delaying the Sep-26 launch and approval rate recovery.</w:t>
      </w:r>
    </w:p>
    <w:p>
      <w:pPr>
        <w:pStyle w:val="ListBullet"/>
      </w:pPr>
      <w:r>
        <w:t>Initiative #10.0 (Persona 2): Low confidence in July start due to DS team prioritization conflicts, risking submission rate stagnation.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