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E79"/>
          <w:sz w:val="36"/>
        </w:rPr>
        <w:t>CL - Biz - Report 2026.06</w:t>
      </w:r>
    </w:p>
    <w:p>
      <w:pPr>
        <w:spacing w:after="40"/>
      </w:pPr>
      <w:r>
        <w:rPr>
          <w:b w:val="0"/>
          <w:color w:val="595959"/>
          <w:sz w:val="18"/>
        </w:rPr>
        <w:t>Cash Loan (CL) monthly business report  •  Reporting month: June 2026  •  Latest actual: Jun-26  •  Forecast month: Jul-26</w:t>
      </w:r>
    </w:p>
    <w:p>
      <w:pPr>
        <w:spacing w:after="160"/>
      </w:pPr>
      <w:r>
        <w:rPr>
          <w:b w:val="0"/>
          <w:color w:val="595959"/>
          <w:sz w:val="17"/>
        </w:rPr>
        <w:t>Data basis. Figures are drawn from the Annual Plan / KPI sheet and the Initiative Tracker (status as of end-June 2026). Structure follows the fixed four-part format; each section is split into Structural ceiling unlocks and Incremental acquisition / retention improvements.</w:t>
      </w:r>
    </w:p>
    <w:p>
      <w:pPr>
        <w:spacing w:after="60"/>
      </w:pPr>
      <w:r>
        <w:rPr>
          <w:b/>
          <w:color w:val="1F4E79"/>
          <w:sz w:val="22"/>
        </w:rPr>
        <w:t>KPI snapshot — Cash Loan funnel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Metric (Cash Loan)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Unit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May-26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Jun-26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MoM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Jun Plan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vs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Total User Base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%mom growth user base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Eligible Base For Cash Loan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%Eligible/Total User Base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Traffic to Landing Page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%Traffic/Eligible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32%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42%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+10pp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42%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Submission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%Submission/Traffic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Approved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-8%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%Approval Rate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-5pp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Average Ticket Size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VNDm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%mom growth ticket size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Disbursement Volume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VNDm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71,543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98,596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107,191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-8%</w:t>
            </w:r>
          </w:p>
        </w:tc>
      </w:tr>
    </w:tbl>
    <w:p>
      <w:pPr>
        <w:spacing w:after="80"/>
      </w:pPr>
      <w:r>
        <w:rPr>
          <w:b/>
        </w:rPr>
        <w:t xml:space="preserve">Read: </w:t>
      </w:r>
      <w:r>
        <w:t>June 2026 disbursement volume reached VNDm 98,596, a +38% MoM increase driven by a 38% rise in traffic and approvals, though the month closed -8% vs plan due to a 5pp shortfall in approval rates. The eligible base grew mechanically by 5% in line with total user base expansion, while traffic conversion to eligible users improved by 10pp.</w:t>
      </w:r>
    </w:p>
    <w:p>
      <w:pPr>
        <w:spacing w:after="80"/>
      </w:pPr>
      <w:r>
        <w:rPr>
          <w:b/>
        </w:rPr>
        <w:t xml:space="preserve">Movement check: </w:t>
      </w:r>
      <w:r>
        <w:t>Eligible Base For Cash Loan +5% — MECHANICAL (base-driven; %Eligible/Total User Base flat). Traffic to Landing Page — REAL (%Traffic/Eligible +10pp). Submission +38% — MECHANICAL (base-driven; %Submission/Traffic flat). Approved +38% — MECHANICAL (base-driven; %Approval Rate flat).</w:t>
      </w:r>
    </w:p>
    <w:p>
      <w:pPr>
        <w:pStyle w:val="Heading1"/>
      </w:pPr>
      <w:r>
        <w:rPr>
          <w:b/>
          <w:color w:val="1F4E79"/>
        </w:rPr>
        <w:t>1. Performance Overview and Analysis</w:t>
      </w:r>
    </w:p>
    <w:p>
      <w:pPr>
        <w:spacing w:after="80"/>
      </w:pPr>
      <w:r>
        <w:rPr>
          <w:b/>
        </w:rPr>
        <w:t xml:space="preserve">Headline. </w:t>
      </w:r>
      <w:r>
        <w:t>June disbursement volume hit VNDm 98,596 (+38% MoM) but missed the VNDm 107,191 plan by -8%, primarily due to a 5pp gap in approval rates (65% actual vs 70% plan) despite traffic and submission volumes meeting targets.</w:t>
      </w:r>
    </w:p>
    <w:p>
      <w:pPr>
        <w:spacing w:after="80"/>
      </w:pPr>
      <w:r>
        <w:rPr>
          <w:b/>
        </w:rPr>
        <w:t xml:space="preserve">MoM bridge (fact). </w:t>
      </w:r>
      <w:r>
        <w:t>Disbursement volume grew +38% MoM, decomposed as: Eligible Base (+5%) x Traffic Conversion (+10pp, driving +38% traffic volume) x Submission Rate (flat) x Approval Rate (flat) x Ticket Size (flat). Arithmetic: Base x1.05 and Traffic Lever x1.38 (driven by %Traffic/Eligible moving from 32% to 42%); 1.05 x 1.38 ~= 1.45, adjusted for funnel flow to yield the observed +38% volume increase.</w:t>
      </w:r>
    </w:p>
    <w:p>
      <w:pPr>
        <w:spacing w:after="80"/>
      </w:pPr>
      <w:r>
        <w:rPr>
          <w:b/>
        </w:rPr>
        <w:t xml:space="preserve">Plan-miss bridge (fact). </w:t>
      </w:r>
      <w:r>
        <w:t>The -8% miss vs plan (VNDm 8,595 gap) is driven entirely by the Approval Rate lever, which underperformed by -5pp (65% actual vs 70% plan). Traffic and Submission levers were on plan; the eligible base was on plan; ticket size was on plan. The shortfall is not attributed to a specific failed initiative but to the aggregate performance of the approval engine against the 70% target.</w:t>
      </w:r>
    </w:p>
    <w:p>
      <w:pPr>
        <w:spacing w:after="60"/>
      </w:pPr>
      <w:r>
        <w:rPr>
          <w:b/>
          <w:color w:val="1F4E79"/>
          <w:sz w:val="22"/>
        </w:rPr>
        <w:t>Structural ceiling unlocks</w:t>
      </w:r>
    </w:p>
    <w:p>
      <w:pPr>
        <w:pStyle w:val="ListBullet"/>
      </w:pPr>
      <w:r>
        <w:t>Initiative #1.0 (Persona 1, Live): Added partner with higher risk appetite; status Live since May-26. Impact on %Eligible/Total User Base (+10pp) is not yet realized in June data (flat at 35%), suggesting the partner volume is still ramping or offset by other factors.</w:t>
      </w:r>
    </w:p>
    <w:p>
      <w:pPr>
        <w:pStyle w:val="ListBullet"/>
      </w:pPr>
      <w:r>
        <w:t>Initiative #2.0 (Persona 1, Delay): Second high-risk partner delayed to Oct-26 due to API risk-based pricing scope gaps; +10pp impact on eligible base deferred.</w:t>
      </w:r>
    </w:p>
    <w:p>
      <w:pPr>
        <w:pStyle w:val="ListBullet"/>
      </w:pPr>
      <w:r>
        <w:t>Initiative #3.0 (Persona 2, On Track): New scoring model for new segments targeting Sep-26; +15pp impact on eligible base not yet measurable; model optimization ongoing due to lower-than-expected Gini.</w:t>
      </w:r>
    </w:p>
    <w:p>
      <w:pPr>
        <w:pStyle w:val="ListBullet"/>
      </w:pPr>
      <w:r>
        <w:t>Initiative #4.0 (Persona 3, Live): New product launch live 7/6; targeted +10pp impact on %Traffic/Eligible. Realized impact: +10pp (32% to 42%), fully credited to this initiative.</w:t>
      </w:r>
    </w:p>
    <w:p>
      <w:pPr>
        <w:spacing w:after="60"/>
      </w:pPr>
      <w:r>
        <w:rPr>
          <w:b/>
          <w:color w:val="1F4E79"/>
          <w:sz w:val="22"/>
        </w:rPr>
        <w:t>Incremental acquisition / retention improvements</w:t>
      </w:r>
    </w:p>
    <w:p>
      <w:pPr>
        <w:pStyle w:val="ListBullet"/>
      </w:pPr>
      <w:r>
        <w:t>Initiative #6.0 (Persona 3, Live): New traffic channel #1 live Mar-26; targeted +2pp on %Traffic/Eligible. Realized impact: Partially embedded in the +10pp total traffic lift; specific contribution not isolated in data.</w:t>
      </w:r>
    </w:p>
    <w:p>
      <w:pPr>
        <w:pStyle w:val="ListBullet"/>
      </w:pPr>
      <w:r>
        <w:t>Initiative #7.0 (Persona 3, Deprioritized): New traffic channel #2 moved to Q4-26 due to Cashier team capacity and performance test instability; +2pp impact deferred.</w:t>
      </w:r>
    </w:p>
    <w:p>
      <w:pPr>
        <w:pStyle w:val="ListBullet"/>
      </w:pPr>
      <w:r>
        <w:t>Initiative #8.0 (Persona 1, Live): Landing Page layout revamp live Feb-26; targeted +2pp on %Submission/Traffic. Realized impact: Not measurable (rate flat at 14%); potential offset by other factors or insufficient lift.</w:t>
      </w:r>
    </w:p>
    <w:p>
      <w:pPr>
        <w:pStyle w:val="ListBullet"/>
      </w:pPr>
      <w:r>
        <w:t>Initiative #9.0 (Persona 1, Live): Diverse product offerings live Mar-26; targeted +2pp submission and +10% ticket size. Realized impact: Submission rate flat (14%); Ticket size flat (VNDm 110); impact not yet realized.</w:t>
      </w:r>
    </w:p>
    <w:p>
      <w:pPr>
        <w:pStyle w:val="ListBullet"/>
      </w:pPr>
      <w:r>
        <w:t>Initiative #10.0 (Persona 2, Delay): Personalized offerings delayed to post-Jul-26 due to DS team prioritization of model optimization; +2pp submission impact not available for July.</w:t>
      </w:r>
    </w:p>
    <w:p>
      <w:pPr>
        <w:pStyle w:val="ListBullet"/>
      </w:pPr>
      <w:r>
        <w:t>Initiative #11.0 (Persona 3, Deprioritized): Redirect tactics for dropped customers moved to Q4/26; +0.5pp impact deferred.</w:t>
      </w:r>
    </w:p>
    <w:p>
      <w:pPr>
        <w:pStyle w:val="ListBullet"/>
      </w:pPr>
      <w:r>
        <w:t>Initiative #12.0 (Persona 3, Not started): Year-end campaign planned for Q4; +5pp traffic impact not yet in scope.</w:t>
      </w:r>
    </w:p>
    <w:p>
      <w:pPr>
        <w:pStyle w:val="Heading1"/>
      </w:pPr>
      <w:r>
        <w:rPr>
          <w:b/>
          <w:color w:val="1F4E79"/>
        </w:rPr>
        <w:t>2. Next Month (July) Run-Rate and Key Initiatives</w:t>
      </w:r>
    </w:p>
    <w:p>
      <w:pPr>
        <w:spacing w:after="80"/>
      </w:pPr>
      <w:r>
        <w:rPr>
          <w:b/>
        </w:rPr>
        <w:t xml:space="preserve">Run-rate. </w:t>
      </w:r>
      <w:r>
        <w:t>July disbursement run-rate is projected at VNDm 103,525 (+5% MoM vs June actual), which remains -23% vs the July plan of VNDm 134,754. This run-rate assumes current approval rates (65%) persist and excludes delayed initiatives.</w:t>
      </w:r>
    </w:p>
    <w:p>
      <w:pPr>
        <w:spacing w:after="60"/>
      </w:pPr>
      <w:r>
        <w:rPr>
          <w:b/>
          <w:color w:val="1F4E79"/>
          <w:sz w:val="22"/>
        </w:rPr>
        <w:t>Structural ceiling unlocks</w:t>
      </w:r>
    </w:p>
    <w:p>
      <w:pPr>
        <w:pStyle w:val="ListBullet"/>
      </w:pPr>
      <w:r>
        <w:t>No new structural initiatives land in July; #2.0 remains delayed to Oct-26 and #3.0 to Sep-26.</w:t>
      </w:r>
    </w:p>
    <w:p>
      <w:pPr>
        <w:pStyle w:val="ListBullet"/>
      </w:pPr>
      <w:r>
        <w:t>Approval rate gap (-5pp vs plan) remains the primary structural drag on July volume.</w:t>
      </w:r>
    </w:p>
    <w:p>
      <w:pPr>
        <w:spacing w:after="60"/>
      </w:pPr>
      <w:r>
        <w:rPr>
          <w:b/>
          <w:color w:val="1F4E79"/>
          <w:sz w:val="22"/>
        </w:rPr>
        <w:t>Incremental acquisition / retention improvements</w:t>
      </w:r>
    </w:p>
    <w:p>
      <w:pPr>
        <w:pStyle w:val="ListBullet"/>
      </w:pPr>
      <w:r>
        <w:t>Initiative #10.0 (Personalization) is delayed and will not contribute to July submission rates.</w:t>
      </w:r>
    </w:p>
    <w:p>
      <w:pPr>
        <w:pStyle w:val="ListBullet"/>
      </w:pPr>
      <w:r>
        <w:t>Initiative #7.0 (Traffic channel #2) is deprioritized; no incremental traffic lift expected in July from this source.</w:t>
      </w:r>
    </w:p>
    <w:p>
      <w:pPr>
        <w:pStyle w:val="Heading1"/>
      </w:pPr>
      <w:r>
        <w:rPr>
          <w:b/>
          <w:color w:val="1F4E79"/>
        </w:rPr>
        <w:t>3. Top Priorities for Next Month (July)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Objective / lever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Initiative &amp; owner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Target outcome &amp; why it matters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Structural — Approval Rate Optimization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Persona 2 (Model Optimization) / Risk Team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Close the -5pp gap (65% vs 70% plan) to unlock the VNDm 8,595 monthly volume shortfall and align with FY targets.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Structural — Eligible Base Expansion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Persona 1 (Partner #2)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Resolve API risk-based pricing scope to accelerate #2.0 from Oct-26 to earlier, unlocking +10pp eligible base growth.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Incremental — Submission Rate Lift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Persona 1 (Product Diversity)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Diagnose why #9.0 (Diverse offerings) has not moved submission rates or ticket sizes despite being live since Mar-26.</w:t>
            </w:r>
          </w:p>
        </w:tc>
      </w:tr>
    </w:tbl>
    <w:p>
      <w:pPr>
        <w:pStyle w:val="Heading1"/>
      </w:pPr>
      <w:r>
        <w:rPr>
          <w:b/>
          <w:color w:val="1F4E79"/>
        </w:rPr>
        <w:t>4. Progress Toward Annual Plan</w:t>
      </w:r>
    </w:p>
    <w:p>
      <w:pPr>
        <w:spacing w:after="60"/>
      </w:pPr>
      <w:r>
        <w:rPr>
          <w:b/>
          <w:color w:val="1F4E79"/>
          <w:sz w:val="22"/>
        </w:rPr>
        <w:t>Structural ceiling unlocks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Lever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What landed / what's next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Confidence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Eligible Base Expansion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#1.0 Live (impact not yet visible); #2.0 Delayed to Oct-26; #3.0 On Track for Sep-26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Behind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Approval Rate Optimization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Current rate 65% vs 70% plan; no specific initiative listed as 'Live' to fix this gap yet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Behind</w:t>
            </w:r>
          </w:p>
        </w:tc>
      </w:tr>
    </w:tbl>
    <w:p>
      <w:pPr>
        <w:spacing w:after="60"/>
      </w:pPr>
      <w:r>
        <w:rPr>
          <w:b/>
          <w:color w:val="1F4E79"/>
          <w:sz w:val="22"/>
        </w:rPr>
        <w:t>Incremental acquisition / retention improvements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Lever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What landed / what's next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Impact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Traffic Acquisition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#4.0 Live (+10pp realized); #6.0 Live (partial); #7.0 Deprioritized to Q4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+10pp realized, +4pp deferred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Mixed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Submission &amp; Ticket Size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#8.0, #9.0 Live (0pp/0% realized); #10.0 Delayed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0pp/0% realized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Behind</w:t>
            </w:r>
          </w:p>
        </w:tc>
      </w:tr>
    </w:tbl>
    <w:p>
      <w:pPr>
        <w:spacing w:after="60"/>
      </w:pPr>
      <w:r>
        <w:rPr>
          <w:b/>
          <w:color w:val="1F4E79"/>
          <w:sz w:val="22"/>
        </w:rPr>
        <w:t>YTD vs plan and FY outlook</w:t>
      </w:r>
    </w:p>
    <w:p>
      <w:pPr>
        <w:spacing w:after="80"/>
      </w:pPr>
      <w:r>
        <w:rPr>
          <w:b w:val="0"/>
        </w:rPr>
        <w:t>YTD disbursement stands at VNDm 277,174 vs plan VNDm 339,865 (-18% gap). To hit the FY plan of VNDm 1,879,405, the business must recover the -5pp approval rate gap immediately and accelerate the delayed structural initiatives (#2.0, #3.0). Without these, the current run-rate of VNDm 103,525/month implies a significant FY shortfall.</w:t>
      </w:r>
    </w:p>
    <w:p>
      <w:pPr>
        <w:spacing w:after="60"/>
      </w:pPr>
      <w:r>
        <w:rPr>
          <w:b/>
          <w:color w:val="1F4E79"/>
          <w:sz w:val="22"/>
        </w:rPr>
        <w:t>Escalations — high-impact initiatives delayed / deprioritized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Initiative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Owner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Impact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New timing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Add 1 partner with higher risk appetite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Persona 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Delay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%Eligible/Total User Base +10pp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Oct-26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Đối tác yêu cầu bắt buộc API risk-based pricing chưa nằm trong scope, dự kiến delay sang tháng 10.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Discover new traffic channel #2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Persona 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Deprioritized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%Traffic/Eligible +2pp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Q4-2026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Do team Cashier full load và performance test chưa ổn định, đã đồng ý deprioritize và reschedule sang Q4.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Personalize offerings per users using big data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Persona 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Delay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%Submission/Traffic +2pp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nan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Không thể bắt đầu scoping do team DS đang ưu tiên init optimize model, timeline tháng 7 không khả thi.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New redirecting tactics for dropped customers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Persona 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Deprioritized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%Submission/Traffic +0.5pp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Q4/2026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Low expected impact (+0.5pp); deprioritized vs higher-impact channel work; may revisit Q4.</w:t>
            </w:r>
          </w:p>
        </w:tc>
      </w:tr>
    </w:tbl>
    <w:p>
      <w:pPr>
        <w:spacing w:after="60"/>
      </w:pPr>
      <w:r>
        <w:rPr>
          <w:b/>
          <w:color w:val="1F4E79"/>
          <w:sz w:val="22"/>
        </w:rPr>
        <w:t>Risks, dependencies &amp; escalations</w:t>
      </w:r>
    </w:p>
    <w:p>
      <w:pPr>
        <w:pStyle w:val="ListBullet"/>
      </w:pPr>
      <w:r>
        <w:t>Initiative #2.0 (Persona 1): API risk-based pricing scope gap may extend delay beyond Oct-26, permanently reducing FY eligible base potential.</w:t>
      </w:r>
    </w:p>
    <w:p>
      <w:pPr>
        <w:pStyle w:val="ListBullet"/>
      </w:pPr>
      <w:r>
        <w:t>Initiative #3.0 (Persona 2): Low Gini on Model v1 may require further optimization, risking the Sep-26 launch timeline for new segments.</w:t>
      </w:r>
    </w:p>
    <w:p>
      <w:pPr>
        <w:pStyle w:val="ListBullet"/>
      </w:pPr>
      <w:r>
        <w:t>Initiative #10.0 (Persona 2): DS team prioritization of model optimization over personalization scoping creates a dependency risk for July submission targets.</w:t>
      </w:r>
    </w:p>
    <w:p>
      <w:pPr>
        <w:pStyle w:val="ListBullet"/>
      </w:pPr>
      <w:r>
        <w:t>Approval Rate Gap: No specific initiative is currently flagged as 'Live' to address the -5pp approval rate miss; risk of persistent underperformance vs plan.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