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9"/>
          <w:sz w:val="36"/>
        </w:rPr>
        <w:t>CL - Biz - Report 2026.06</w:t>
      </w:r>
    </w:p>
    <w:p>
      <w:pPr>
        <w:spacing w:after="40"/>
      </w:pPr>
      <w:r>
        <w:rPr>
          <w:b w:val="0"/>
          <w:color w:val="595959"/>
          <w:sz w:val="18"/>
        </w:rPr>
        <w:t>Cash Loan (CL) monthly business report  •  Reporting month: June 2026  •  Latest actual: Jun-26  •  Forecast month: Jul-26</w:t>
      </w:r>
    </w:p>
    <w:p>
      <w:pPr>
        <w:spacing w:after="160"/>
      </w:pPr>
      <w:r>
        <w:rPr>
          <w:b w:val="0"/>
          <w:color w:val="595959"/>
          <w:sz w:val="17"/>
        </w:rPr>
        <w:t>Data basis. Figures are drawn from the Annual Plan / KPI sheet and the Initiative Tracker (status as of end-June 2026). Structure follows the fixed four-part format; each section is split into Structural ceiling unlocks and Incremental acquisition / retention improvements.</w:t>
      </w:r>
    </w:p>
    <w:p>
      <w:pPr>
        <w:spacing w:after="60"/>
      </w:pPr>
      <w:r>
        <w:rPr>
          <w:b/>
          <w:color w:val="1F4E79"/>
          <w:sz w:val="22"/>
        </w:rPr>
        <w:t>KPI snapshot — Cash Loan funnel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Metric (Cash Loan)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May-26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MoM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 Plan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vs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Eligible Base For Cash Loan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%Eligible/Total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Traffic to Landing Page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%Traffic/Eligible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+10pp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Submission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%Submission/Traffic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Approved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%Approval Rate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-5pp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Average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Disbursement Volume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71,543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98,596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107,191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</w:tbl>
    <w:p>
      <w:pPr>
        <w:spacing w:after="80"/>
      </w:pPr>
      <w:r>
        <w:rPr>
          <w:b/>
        </w:rPr>
        <w:t xml:space="preserve">Read: </w:t>
      </w:r>
      <w:r>
        <w:t>June 2026 Disbursement Volume reached VNDm 98,596, a +38% MoM increase driven by a 38% rise in Approved loans, while remaining -8% vs Plan. The funnel expanded mechanically through a +5% growth in Eligible Base and a +10pp uplift in Traffic-to-Eligible conversion, though the Approval Rate remained flat at 65%.</w:t>
      </w:r>
    </w:p>
    <w:p>
      <w:pPr>
        <w:spacing w:after="80"/>
      </w:pPr>
      <w:r>
        <w:rPr>
          <w:b/>
        </w:rPr>
        <w:t xml:space="preserve">Movement check: </w:t>
      </w:r>
      <w:r>
        <w:t>Eligible Base For Cash Loan +5% — MECHANICAL (base-driven; %Eligible/Total User Base flat). Traffic to Landing Page — REAL (%Traffic/Eligible +10pp). Submission +38% — MECHANICAL (base-driven; %Submission/Traffic flat). Approved +38% — MECHANICAL (base-driven; %Approval Rate flat).</w:t>
      </w:r>
    </w:p>
    <w:p>
      <w:pPr>
        <w:pStyle w:val="Heading1"/>
      </w:pPr>
      <w:r>
        <w:rPr>
          <w:b/>
          <w:color w:val="1F4E79"/>
        </w:rPr>
        <w:t>1. Performance Overview and Analysis</w:t>
      </w:r>
    </w:p>
    <w:p>
      <w:pPr>
        <w:spacing w:after="80"/>
      </w:pPr>
      <w:r>
        <w:rPr>
          <w:b/>
        </w:rPr>
        <w:t xml:space="preserve">Headline. </w:t>
      </w:r>
      <w:r>
        <w:t>Disbursement Volume hit VNDm 98,596 (+38% MoM) but missed the VNDm 107,191 plan by -8%. Growth was driven by a 38% increase in Approved loans, stemming from a 38% surge in Traffic (real) and a 5% expansion in Eligible Base (mechanical), offset by a -5pp shortfall in Approval Rate vs Plan.</w:t>
      </w:r>
    </w:p>
    <w:p>
      <w:pPr>
        <w:spacing w:after="80"/>
      </w:pPr>
      <w:r>
        <w:rPr>
          <w:b/>
        </w:rPr>
        <w:t xml:space="preserve">MoM bridge (fact). </w:t>
      </w:r>
      <w:r>
        <w:t>Disbursement Volume +38% decomposes into: Eligible Base x1.05 (Mechanical) x Traffic/Eligible x1.31 (Real, +10pp) x Submission/Traffic x1.00 (Flat) x Approval Rate x1.00 (Flat) x Ticket Size x1.00 (Flat). Arithmetic: 1.05 x 1.31 x 1.00 x 1.00 x 1.00 ~= 1.38, i.e. +38%.</w:t>
      </w:r>
    </w:p>
    <w:p>
      <w:pPr>
        <w:spacing w:after="80"/>
      </w:pPr>
      <w:r>
        <w:rPr>
          <w:b/>
        </w:rPr>
        <w:t xml:space="preserve">Plan-miss bridge (fact). </w:t>
      </w:r>
      <w:r>
        <w:t>The -8% gap to Plan (VNDm 107,191) is primarily driven by the Approval Rate missing its 70% target by -5pp (Actual 65%), despite Traffic and Eligible Base performing on plan. The flat Approval Rate negated the volume gains from the +10pp Traffic uplift, preventing the realization of the full plan volume.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Eligible Base: +5% MoM growth (Mechanical) aligns with Initiative #1.0 (Persona 1, Live), which targeted +10pp %Eligible/Total; however, the metric remained flat at 35%, suggesting the +5% base growth was driven by overall user base expansion rather than the partner integration's full impact yet.</w:t>
      </w:r>
    </w:p>
    <w:p>
      <w:pPr>
        <w:pStyle w:val="ListBullet"/>
      </w:pPr>
      <w:r>
        <w:t>Approval Rate: Flat at 65% MoM (-5pp vs Plan 70%); no structural initiative (#3.0) has landed yet (scheduled Sep-26), leaving the scoring model unchanged and the rate below target.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Traffic/Eligible: +10pp MoM (Real) vs Plan 42% (On Plan). This uplift is attributed to Initiative #4.0 (Persona 3, Live, Jun-26) targeting +10pp, fully realized in June. Initiative #6.0 (Persona 3, Live) contributed +2pp but is subsumed in the total.</w:t>
      </w:r>
    </w:p>
    <w:p>
      <w:pPr>
        <w:pStyle w:val="ListBullet"/>
      </w:pPr>
      <w:r>
        <w:t>Submission/Traffic: Flat at 14% MoM (On Plan). Initiatives #8.0 (Persona 1, Live) and #9.0 (Persona 1, Live) targeted +2pp and +2pp respectively; however, the metric remained flat, indicating these layout and diversity changes have not yet translated into submission rate improvements.</w:t>
      </w:r>
    </w:p>
    <w:p>
      <w:pPr>
        <w:pStyle w:val="ListBullet"/>
      </w:pPr>
      <w:r>
        <w:t>Ticket Size: Flat at VNDm 110 (On Plan). Initiative #9.0 (Persona 1, Live) targeted +10% ticket size; this impact is not yet realized in the June actuals.</w:t>
      </w:r>
    </w:p>
    <w:p>
      <w:pPr>
        <w:pStyle w:val="Heading1"/>
      </w:pPr>
      <w:r>
        <w:rPr>
          <w:b/>
          <w:color w:val="1F4E79"/>
        </w:rPr>
        <w:t>2. Next Month (July) Run-Rate and Key Initiatives</w:t>
      </w:r>
    </w:p>
    <w:p>
      <w:pPr>
        <w:spacing w:after="80"/>
      </w:pPr>
      <w:r>
        <w:rPr>
          <w:b/>
        </w:rPr>
        <w:t xml:space="preserve">Run-rate. </w:t>
      </w:r>
      <w:r>
        <w:t>July Disbursement run-rate is projected at VNDm 103,525 (+5% MoM vs June), which remains -23% vs the July Plan of VNDm 134,754. This projection assumes current conversion rates persist without the delayed structural or incremental initiatives.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Approval Rate remains the primary constraint; Initiative #3.0 (Persona 2) is On Track for Sep-26, meaning no structural scoring improvement is expected in July.</w:t>
      </w:r>
    </w:p>
    <w:p>
      <w:pPr>
        <w:pStyle w:val="ListBullet"/>
      </w:pPr>
      <w:r>
        <w:t>Eligible Base growth relies on Initiative #2.0 (Persona 1), which is Delayed to Sep-26; no additional base expansion from this partner is expected in July.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Initiative #10.0 (Persona 2) is Delayed to Aug-26; the targeted +2pp submission uplift will not materialize in July.</w:t>
      </w:r>
    </w:p>
    <w:p>
      <w:pPr>
        <w:pStyle w:val="ListBullet"/>
      </w:pPr>
      <w:r>
        <w:t>Initiative #7.0 (Persona 3) is Deprioritized to Q4-2026; the +2pp traffic impact is removed from the July forecast.</w:t>
      </w:r>
    </w:p>
    <w:p>
      <w:pPr>
        <w:pStyle w:val="ListBullet"/>
      </w:pPr>
      <w:r>
        <w:t>Initiative #12.0 (Persona 3) is Not Started; the +5pp traffic impact is excluded from the July run-rate.</w:t>
      </w:r>
    </w:p>
    <w:p>
      <w:pPr>
        <w:pStyle w:val="Heading1"/>
      </w:pPr>
      <w:r>
        <w:rPr>
          <w:b/>
          <w:color w:val="1F4E79"/>
        </w:rPr>
        <w:t>3. Top Priorities for Next Month (July)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Objective / 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 &amp; owner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Target outcome &amp; why it matters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Approval Rate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#3.0 (Persona 2)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Unlock +15pp Eligible Base and improve scoring to close the -5pp gap vs Plan; critical for FY volume.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Incremental — Submission Rate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#10.0 (Persona 2)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Resolve delay to capture +2pp submission uplift; currently flat at 14% despite prior layout changes.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Eligible Base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#2.0 (Persona 1)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Accelerate delayed partner integration to Sep-26 to secure +10pp eligible base expansion.</w:t>
            </w:r>
          </w:p>
        </w:tc>
      </w:tr>
    </w:tbl>
    <w:p>
      <w:pPr>
        <w:pStyle w:val="Heading1"/>
      </w:pPr>
      <w:r>
        <w:rPr>
          <w:b/>
          <w:color w:val="1F4E79"/>
        </w:rPr>
        <w:t>4. Progress Toward Annual Plan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Confidence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Partner Integration (Risk Appetite)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#1.0 Live (May-26); Initiative #2.0 Delayed to Sep-26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Scoring Models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#3.0 On Track for Sep-26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On track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Traffic Channels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#4.0 Live (Jun-26); #6.0 Live; #7.0 Deprioritized to Q4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+10pp realized (Jun); +2pp deferred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Submission Conversion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#8.0 &amp; #9.0 Live (Feb/Mar-26); #10.0 Delayed to Aug-26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0pp realized (Flat); +2pp deferred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Ticket Size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#9.0 Live (Mar-26)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0% realized (Flat); +10% deferred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YTD vs plan and FY outlook</w:t>
      </w:r>
    </w:p>
    <w:p>
      <w:pPr>
        <w:spacing w:after="80"/>
      </w:pPr>
      <w:r>
        <w:rPr>
          <w:b w:val="0"/>
        </w:rPr>
        <w:t>YTD Disbursement is VNDm 277,174 vs Plan VNDm 339,865 (-18% gap). To hit the FY Plan of VNDm 1,879,405, the business must recover the -5pp Approval Rate gap and realize the deferred impacts of Initiatives #2.0, #3.0, and #10.0 by Q3/Q4. Current run-rate suggests a significant shortfall unless structural unlocks in September materialize fully.</w:t>
      </w:r>
    </w:p>
    <w:p>
      <w:pPr>
        <w:spacing w:after="60"/>
      </w:pPr>
      <w:r>
        <w:rPr>
          <w:b/>
          <w:color w:val="1F4E79"/>
          <w:sz w:val="22"/>
        </w:rPr>
        <w:t>Escalations — high-impact initiatives delayed / deprioritized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New timing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Add 1 partner with higher risk appetite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Delay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%Eligible/Total User Base +10pp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Sep-26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Đối tác đồng ý triển khai theo giai đoạn, nhưng cần thêm 2 tuần so với kế hoạch ban đầu (31/8), dự kiến Phase 1 vào tháng 9 với 1 triệu user.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Discover new traffic channel #2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Deprioritized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%Traffic/Eligible +2pp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Q4-2026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Do team Cashier không có nguồn lực và vấn đề hiệu năng, initiative này đã được đồng ý deprioritize và sẽ xem xét lại vào Q4.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Personalize offerings per users using big data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Delay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%Submission/Traffic +2pp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Aug-26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Do team DS ưu tiên tối ưu mô hình dữ liệu, việc scoping bị trì hoãn; dự kiến cần 2 tháng để hoàn thiện sau khi bắt đầu.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New redirecting tactics for dropped customers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Deprioritized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%Submission/Traffic +0.5pp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Q4-2026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Đã được deprioritize do tác động thấp, có thể xem xét lại vào Q4.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Risks, dependencies &amp; escalations</w:t>
      </w:r>
    </w:p>
    <w:p>
      <w:pPr>
        <w:pStyle w:val="ListBullet"/>
      </w:pPr>
      <w:r>
        <w:t>Initiative #2.0 (Persona 1): Delayed to Sep-26; risk of missing Q3 eligible base targets if partner onboarding slips further.</w:t>
      </w:r>
    </w:p>
    <w:p>
      <w:pPr>
        <w:pStyle w:val="ListBullet"/>
      </w:pPr>
      <w:r>
        <w:t>Initiative #3.0 (Persona 2): On Track for Sep-26; risk that model optimization (Gini 0.3) does not translate to the expected +15pp eligible base uplift.</w:t>
      </w:r>
    </w:p>
    <w:p>
      <w:pPr>
        <w:pStyle w:val="ListBullet"/>
      </w:pPr>
      <w:r>
        <w:t>Initiative #10.0 (Persona 2): Delayed to Aug-26 with Low confidence; risk of further slippage impacting Q3 submission rates.</w:t>
      </w:r>
    </w:p>
    <w:p>
      <w:pPr>
        <w:pStyle w:val="ListBullet"/>
      </w:pPr>
      <w:r>
        <w:t>Initiative #7.0 &amp; #11.0 (Persona 3): Deprioritized to Q4; risk of permanent loss of +2.5pp traffic/submission potential if Q4 resources are constrained.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