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E79"/>
          <w:sz w:val="36"/>
        </w:rPr>
        <w:t>CL - Biz - Report 2026.06</w:t>
      </w:r>
    </w:p>
    <w:p>
      <w:pPr>
        <w:spacing w:after="40"/>
      </w:pPr>
      <w:r>
        <w:rPr>
          <w:b w:val="0"/>
          <w:color w:val="595959"/>
          <w:sz w:val="18"/>
        </w:rPr>
        <w:t>Cash Loan (CL) monthly business report  •  Reporting month: June 2026  •  Latest actual: Jun-26  •  Forecast month: Jul-26</w:t>
      </w:r>
    </w:p>
    <w:p>
      <w:pPr>
        <w:spacing w:after="160"/>
      </w:pPr>
      <w:r>
        <w:rPr>
          <w:b w:val="0"/>
          <w:color w:val="595959"/>
          <w:sz w:val="17"/>
        </w:rPr>
        <w:t>Data basis. Figures are drawn from the Annual Plan / KPI sheet and the Initiative Tracker (status as of end-June 2026). Structure follows the fixed four-part format; each section is split into Structural ceiling unlocks and Incremental acquisition / retention improvements.</w:t>
      </w:r>
    </w:p>
    <w:p>
      <w:pPr>
        <w:spacing w:after="60"/>
      </w:pPr>
      <w:r>
        <w:rPr>
          <w:b/>
          <w:color w:val="1F4E79"/>
          <w:sz w:val="22"/>
        </w:rPr>
        <w:t>KPI snapshot — Cash Loan funnel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Metric (Cash Loan)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Unit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May-26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MoM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 Plan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vs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Eligible Base For Cash Loan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%Eligible/Total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Traffic to Landing Page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%Traffic/Eligible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+10pp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Submission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%Submission/Traffic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Approved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%Approval Rate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-5pp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Average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Disbursement Volume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71,543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98,596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107,191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</w:tbl>
    <w:p>
      <w:pPr>
        <w:spacing w:after="80"/>
      </w:pPr>
      <w:r>
        <w:rPr>
          <w:b/>
        </w:rPr>
        <w:t xml:space="preserve">Read: </w:t>
      </w:r>
      <w:r>
        <w:t>User base grew +5% MoM to 67k, tracking on plan. Eligible base expanded +5% to 23k, maintaining 35% penetration. Traffic surged +38% to 10k driven by conversion uplift, though disbursement missed plan by -8% due to approval rate shortfall.</w:t>
      </w:r>
    </w:p>
    <w:p>
      <w:pPr>
        <w:pStyle w:val="Heading1"/>
      </w:pPr>
      <w:r>
        <w:rPr>
          <w:b/>
          <w:color w:val="1F4E79"/>
        </w:rPr>
        <w:t>1. Performance Overview and Analysis</w:t>
      </w:r>
    </w:p>
    <w:p>
      <w:pPr>
        <w:spacing w:after="80"/>
      </w:pPr>
      <w:r>
        <w:rPr>
          <w:b/>
        </w:rPr>
        <w:t xml:space="preserve">Headline. </w:t>
      </w:r>
      <w:r>
        <w:t>Disbursement reached VNDm 98,596 (+38% MoM) but missed June plan by -8% (VNDm 107,191). Growth was volume-driven via traffic expansion, offset by a 5pp approval rate gap versus plan.</w:t>
      </w:r>
    </w:p>
    <w:p>
      <w:pPr>
        <w:spacing w:after="80"/>
      </w:pPr>
      <w:r>
        <w:rPr>
          <w:b/>
        </w:rPr>
        <w:t xml:space="preserve">MoM bridge (fact). </w:t>
      </w:r>
      <w:r>
        <w:t>Disbursement +38% decomposed into Eligible Base x1.05 and Traffic Conversion x1.31 (32% to 42%); 1.05 x 1.31 ~= 1.37, i.e. +37% growth. Submission rate, approval rate, and ticket size remained flat MoM.</w:t>
      </w:r>
    </w:p>
    <w:p>
      <w:pPr>
        <w:spacing w:after="80"/>
      </w:pPr>
      <w:r>
        <w:rPr>
          <w:b/>
        </w:rPr>
        <w:t xml:space="preserve">Plan-miss bridge (fact). </w:t>
      </w:r>
      <w:r>
        <w:t>-8% gap driven by Approval Rate -5pp (65% actual vs 70% plan) and Eligible Base -4% (23k vs 24k plan). Traffic and Ticket Size met plan targets.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Initiative #1.0 (Thư. Trần Thị (2), Live): Partner integration maintained Eligible Base growth (+5%) but failed to lift %Eligible/Total beyond 35% plan, limiting structural ceiling.</w:t>
      </w:r>
    </w:p>
    <w:p>
      <w:pPr>
        <w:pStyle w:val="ListBullet"/>
      </w:pPr>
      <w:r>
        <w:t>Initiative #3.0 (Thư Trần, On Track): Scoring model v1 Gini lower than expected (0.2 vs 0.4); optimization ongoing for Sep-26 launch to unlock approval rate potential.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Initiative #4.0 (Thư. Trần Thị (2), Live): New product deployment drove %Traffic/Eligible +10pp (32% to 42%), accounting for majority of MoM volume growth.</w:t>
      </w:r>
    </w:p>
    <w:p>
      <w:pPr>
        <w:pStyle w:val="ListBullet"/>
      </w:pPr>
      <w:r>
        <w:t>Initiative #9.0 (Persona 1, Live): Product diversification maintained Average Ticket Size at VNDm 110, meeting plan but offering no incremental upside.</w:t>
      </w:r>
    </w:p>
    <w:p>
      <w:pPr>
        <w:pStyle w:val="Heading1"/>
      </w:pPr>
      <w:r>
        <w:rPr>
          <w:b/>
          <w:color w:val="1F4E79"/>
        </w:rPr>
        <w:t>2. Next Month (July) Run-Rate and Key Initiatives</w:t>
      </w:r>
    </w:p>
    <w:p>
      <w:pPr>
        <w:spacing w:after="80"/>
      </w:pPr>
      <w:r>
        <w:rPr>
          <w:b/>
        </w:rPr>
        <w:t xml:space="preserve">Run-rate. </w:t>
      </w:r>
      <w:r>
        <w:t>July disbursement run-rate projected at VNDm 103,525 (+5% vs June actual), representing a significant -23% gap to July plan (VNDm 134,754).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No structural approval rate improvements expected in July; Initiative #3.0 modelling launch remains scheduled for Sep-26.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Traffic momentum may soften without new channels; Initiative #7.0 deprioritized until Q4-2026 due to resource constraints.</w:t>
      </w:r>
    </w:p>
    <w:p>
      <w:pPr>
        <w:pStyle w:val="Heading1"/>
      </w:pPr>
      <w:r>
        <w:rPr>
          <w:b/>
          <w:color w:val="1F4E79"/>
        </w:rPr>
        <w:t>3. Top Priorities for Next Month (July)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Objective / 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Initiative &amp; owner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Target outcome &amp; why it matters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Structural — Approval Rate Optimization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#3.0 (Thư Trần)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Accelerate model optimization to close 5pp approval gap before Sep-26 launch to protect FY volume.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Incremental — Traffic Sustainment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#4.0 (Thư. Trần Thị (2))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Maintain 42% traffic conversion post-launch to prevent July run-rate decay.</w:t>
            </w:r>
          </w:p>
        </w:tc>
      </w:tr>
    </w:tbl>
    <w:p>
      <w:pPr>
        <w:pStyle w:val="Heading1"/>
      </w:pPr>
      <w:r>
        <w:rPr>
          <w:b/>
          <w:color w:val="1F4E79"/>
        </w:rPr>
        <w:t>4. Progress Toward Annual Plan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Confidence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Eligible Base Expansion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#1.0 Live; Initiative #2.0 Delayed to Oct-26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Scoring Models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#3.0 On Track for Sep-26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On track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Traffic Acquisition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#4.0 Landed; Initiative #7.0 Deprioritized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+10pp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Conversion Efficiency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#9.0 Live; Initiative #10.0 Delayed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Flat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Stable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YTD vs plan and FY outlook</w:t>
      </w:r>
    </w:p>
    <w:p>
      <w:pPr>
        <w:spacing w:after="80"/>
      </w:pPr>
      <w:r>
        <w:rPr>
          <w:b w:val="0"/>
        </w:rPr>
        <w:t>YTD Disbursement at VNDm 277,174 vs Plan VNDm 339,865 (-18% gap). To hit FY plan of VNDm 1,879,405, requires aggressive catch-up in H2 contingent on Initiative #3.0 delivering approval rate uplift and Initiative #2.0 launching on time in Oct-26.</w:t>
      </w:r>
    </w:p>
    <w:p>
      <w:pPr>
        <w:spacing w:after="60"/>
      </w:pPr>
      <w:r>
        <w:rPr>
          <w:b/>
          <w:color w:val="1F4E79"/>
          <w:sz w:val="22"/>
        </w:rPr>
        <w:t>Risks, dependencies &amp; escalations</w:t>
      </w:r>
    </w:p>
    <w:p>
      <w:pPr>
        <w:pStyle w:val="ListBullet"/>
      </w:pPr>
      <w:r>
        <w:t>Initiative #2.0 (Partner Risk Appetite) delayed 6-8 weeks due to API support requirements; threatens Q4 eligible base targets.</w:t>
      </w:r>
    </w:p>
    <w:p>
      <w:pPr>
        <w:pStyle w:val="ListBullet"/>
      </w:pPr>
      <w:r>
        <w:t>Initiative #3.0 (Modelling) Gini score underperformance risks missing Sep-26 approval rate targets, exacerbating YTD shortfall.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