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1F4E79"/>
          <w:sz w:val="36"/>
        </w:rPr>
        <w:t>CL - Biz - Report 2026.06</w:t>
      </w:r>
    </w:p>
    <w:p>
      <w:pPr>
        <w:spacing w:after="40"/>
      </w:pPr>
      <w:r>
        <w:rPr>
          <w:b w:val="0"/>
          <w:color w:val="595959"/>
          <w:sz w:val="18"/>
        </w:rPr>
        <w:t>Cash Loan (CL) monthly business report  •  Reporting month: June 2026  •  Latest actual: Jun-26  •  Forecast month: Jul-26</w:t>
      </w:r>
    </w:p>
    <w:p>
      <w:pPr>
        <w:spacing w:after="160"/>
      </w:pPr>
      <w:r>
        <w:rPr>
          <w:b w:val="0"/>
          <w:color w:val="595959"/>
          <w:sz w:val="17"/>
        </w:rPr>
        <w:t>Data basis. Figures are drawn from the Annual Plan / KPI sheet and the Initiative Tracker (status as of end-June 2026). Structure follows the fixed four-part format; each section is split into Structural ceiling unlocks and Incremental acquisition / retention improvements.</w:t>
      </w:r>
    </w:p>
    <w:p>
      <w:pPr>
        <w:spacing w:after="60"/>
      </w:pPr>
      <w:r>
        <w:rPr>
          <w:b/>
          <w:color w:val="1F4E79"/>
          <w:sz w:val="22"/>
        </w:rPr>
        <w:t>KPI snapshot — Cash Loan funnel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fill="1F4E79"/>
          </w:tcPr>
          <w:p>
            <w:r/>
            <w:r>
              <w:rPr>
                <w:b/>
                <w:color w:val="FFFFFF"/>
                <w:sz w:val="17"/>
              </w:rPr>
              <w:t>Metric (Cash Loan)</w:t>
            </w:r>
          </w:p>
        </w:tc>
        <w:tc>
          <w:tcPr>
            <w:tcW w:type="dxa" w:w="1234"/>
            <w:shd w:val="clear" w:fill="1F4E79"/>
          </w:tcPr>
          <w:p>
            <w:r/>
            <w:r>
              <w:rPr>
                <w:b/>
                <w:color w:val="FFFFFF"/>
                <w:sz w:val="17"/>
              </w:rPr>
              <w:t>Unit</w:t>
            </w:r>
          </w:p>
        </w:tc>
        <w:tc>
          <w:tcPr>
            <w:tcW w:type="dxa" w:w="1234"/>
            <w:shd w:val="clear" w:fill="1F4E79"/>
          </w:tcPr>
          <w:p>
            <w:r/>
            <w:r>
              <w:rPr>
                <w:b/>
                <w:color w:val="FFFFFF"/>
                <w:sz w:val="17"/>
              </w:rPr>
              <w:t>May-26</w:t>
            </w:r>
          </w:p>
        </w:tc>
        <w:tc>
          <w:tcPr>
            <w:tcW w:type="dxa" w:w="1234"/>
            <w:shd w:val="clear" w:fill="1F4E79"/>
          </w:tcPr>
          <w:p>
            <w:r/>
            <w:r>
              <w:rPr>
                <w:b/>
                <w:color w:val="FFFFFF"/>
                <w:sz w:val="17"/>
              </w:rPr>
              <w:t>Jun-26</w:t>
            </w:r>
          </w:p>
        </w:tc>
        <w:tc>
          <w:tcPr>
            <w:tcW w:type="dxa" w:w="1234"/>
            <w:shd w:val="clear" w:fill="1F4E79"/>
          </w:tcPr>
          <w:p>
            <w:r/>
            <w:r>
              <w:rPr>
                <w:b/>
                <w:color w:val="FFFFFF"/>
                <w:sz w:val="17"/>
              </w:rPr>
              <w:t>MoM</w:t>
            </w:r>
          </w:p>
        </w:tc>
        <w:tc>
          <w:tcPr>
            <w:tcW w:type="dxa" w:w="1234"/>
            <w:shd w:val="clear" w:fill="1F4E79"/>
          </w:tcPr>
          <w:p>
            <w:r/>
            <w:r>
              <w:rPr>
                <w:b/>
                <w:color w:val="FFFFFF"/>
                <w:sz w:val="17"/>
              </w:rPr>
              <w:t>Jun Plan</w:t>
            </w:r>
          </w:p>
        </w:tc>
        <w:tc>
          <w:tcPr>
            <w:tcW w:type="dxa" w:w="1234"/>
            <w:shd w:val="clear" w:fill="1F4E79"/>
          </w:tcPr>
          <w:p>
            <w:r/>
            <w:r>
              <w:rPr>
                <w:b/>
                <w:color w:val="FFFFFF"/>
                <w:sz w:val="17"/>
              </w:rPr>
              <w:t>vs Plan</w:t>
            </w:r>
          </w:p>
        </w:tc>
      </w:tr>
      <w:tr>
        <w:tc>
          <w:tcPr>
            <w:tcW w:type="dxa" w:w="1234"/>
          </w:tcPr>
          <w:p>
            <w:r/>
            <w:r>
              <w:rPr>
                <w:sz w:val="17"/>
              </w:rPr>
              <w:t>Total User Base</w:t>
            </w:r>
          </w:p>
        </w:tc>
        <w:tc>
          <w:tcPr>
            <w:tcW w:type="dxa" w:w="1234"/>
          </w:tcPr>
          <w:p>
            <w:r/>
            <w:r>
              <w:rPr>
                <w:sz w:val="17"/>
              </w:rPr>
              <w:t>000</w:t>
            </w:r>
          </w:p>
        </w:tc>
        <w:tc>
          <w:tcPr>
            <w:tcW w:type="dxa" w:w="1234"/>
          </w:tcPr>
          <w:p>
            <w:r/>
            <w:r>
              <w:rPr>
                <w:sz w:val="17"/>
              </w:rPr>
              <w:t>64</w:t>
            </w:r>
          </w:p>
        </w:tc>
        <w:tc>
          <w:tcPr>
            <w:tcW w:type="dxa" w:w="1234"/>
          </w:tcPr>
          <w:p>
            <w:r/>
            <w:r>
              <w:rPr>
                <w:sz w:val="17"/>
              </w:rPr>
              <w:t>67</w:t>
            </w:r>
          </w:p>
        </w:tc>
        <w:tc>
          <w:tcPr>
            <w:tcW w:type="dxa" w:w="1234"/>
          </w:tcPr>
          <w:p>
            <w:r/>
            <w:r>
              <w:rPr>
                <w:sz w:val="17"/>
              </w:rPr>
              <w:t>+5%</w:t>
            </w:r>
          </w:p>
        </w:tc>
        <w:tc>
          <w:tcPr>
            <w:tcW w:type="dxa" w:w="1234"/>
          </w:tcPr>
          <w:p>
            <w:r/>
            <w:r>
              <w:rPr>
                <w:sz w:val="17"/>
              </w:rPr>
              <w:t>68</w:t>
            </w:r>
          </w:p>
        </w:tc>
        <w:tc>
          <w:tcPr>
            <w:tcW w:type="dxa" w:w="1234"/>
          </w:tcPr>
          <w:p>
            <w:r/>
            <w:r>
              <w:rPr>
                <w:sz w:val="17"/>
              </w:rPr>
              <w:t>On plan</w:t>
            </w:r>
          </w:p>
        </w:tc>
      </w:tr>
      <w:tr>
        <w:tc>
          <w:tcPr>
            <w:tcW w:type="dxa" w:w="1234"/>
          </w:tcPr>
          <w:p>
            <w:r/>
            <w:r>
              <w:rPr>
                <w:sz w:val="17"/>
              </w:rPr>
              <w:t>%mom growth user base</w:t>
            </w:r>
          </w:p>
        </w:tc>
        <w:tc>
          <w:tcPr>
            <w:tcW w:type="dxa" w:w="1234"/>
          </w:tcPr>
          <w:p>
            <w:r/>
            <w:r>
              <w:rPr>
                <w:sz w:val="17"/>
              </w:rPr>
              <w:t>%</w:t>
            </w:r>
          </w:p>
        </w:tc>
        <w:tc>
          <w:tcPr>
            <w:tcW w:type="dxa" w:w="1234"/>
          </w:tcPr>
          <w:p>
            <w:r/>
            <w:r>
              <w:rPr>
                <w:sz w:val="17"/>
              </w:rPr>
              <w:t>5%</w:t>
            </w:r>
          </w:p>
        </w:tc>
        <w:tc>
          <w:tcPr>
            <w:tcW w:type="dxa" w:w="1234"/>
          </w:tcPr>
          <w:p>
            <w:r/>
            <w:r>
              <w:rPr>
                <w:sz w:val="17"/>
              </w:rPr>
              <w:t>5%</w:t>
            </w:r>
          </w:p>
        </w:tc>
        <w:tc>
          <w:tcPr>
            <w:tcW w:type="dxa" w:w="1234"/>
          </w:tcPr>
          <w:p>
            <w:r/>
            <w:r>
              <w:rPr>
                <w:sz w:val="17"/>
              </w:rPr>
              <w:t>0pp</w:t>
            </w:r>
          </w:p>
        </w:tc>
        <w:tc>
          <w:tcPr>
            <w:tcW w:type="dxa" w:w="1234"/>
          </w:tcPr>
          <w:p>
            <w:r/>
            <w:r>
              <w:rPr>
                <w:sz w:val="17"/>
              </w:rPr>
              <w:t>5%</w:t>
            </w:r>
          </w:p>
        </w:tc>
        <w:tc>
          <w:tcPr>
            <w:tcW w:type="dxa" w:w="1234"/>
          </w:tcPr>
          <w:p>
            <w:r/>
            <w:r>
              <w:rPr>
                <w:sz w:val="17"/>
              </w:rPr>
              <w:t>On plan</w:t>
            </w:r>
          </w:p>
        </w:tc>
      </w:tr>
      <w:tr>
        <w:tc>
          <w:tcPr>
            <w:tcW w:type="dxa" w:w="1234"/>
          </w:tcPr>
          <w:p>
            <w:r/>
            <w:r>
              <w:rPr>
                <w:sz w:val="17"/>
              </w:rPr>
              <w:t>Eligible Base For Cash Loan</w:t>
            </w:r>
          </w:p>
        </w:tc>
        <w:tc>
          <w:tcPr>
            <w:tcW w:type="dxa" w:w="1234"/>
          </w:tcPr>
          <w:p>
            <w:r/>
            <w:r>
              <w:rPr>
                <w:sz w:val="17"/>
              </w:rPr>
              <w:t>000</w:t>
            </w:r>
          </w:p>
        </w:tc>
        <w:tc>
          <w:tcPr>
            <w:tcW w:type="dxa" w:w="1234"/>
          </w:tcPr>
          <w:p>
            <w:r/>
            <w:r>
              <w:rPr>
                <w:sz w:val="17"/>
              </w:rPr>
              <w:t>22</w:t>
            </w:r>
          </w:p>
        </w:tc>
        <w:tc>
          <w:tcPr>
            <w:tcW w:type="dxa" w:w="1234"/>
          </w:tcPr>
          <w:p>
            <w:r/>
            <w:r>
              <w:rPr>
                <w:sz w:val="17"/>
              </w:rPr>
              <w:t>23</w:t>
            </w:r>
          </w:p>
        </w:tc>
        <w:tc>
          <w:tcPr>
            <w:tcW w:type="dxa" w:w="1234"/>
          </w:tcPr>
          <w:p>
            <w:r/>
            <w:r>
              <w:rPr>
                <w:sz w:val="17"/>
              </w:rPr>
              <w:t>+5%</w:t>
            </w:r>
          </w:p>
        </w:tc>
        <w:tc>
          <w:tcPr>
            <w:tcW w:type="dxa" w:w="1234"/>
          </w:tcPr>
          <w:p>
            <w:r/>
            <w:r>
              <w:rPr>
                <w:sz w:val="17"/>
              </w:rPr>
              <w:t>24</w:t>
            </w:r>
          </w:p>
        </w:tc>
        <w:tc>
          <w:tcPr>
            <w:tcW w:type="dxa" w:w="1234"/>
          </w:tcPr>
          <w:p>
            <w:r/>
            <w:r>
              <w:rPr>
                <w:sz w:val="17"/>
              </w:rPr>
              <w:t>On plan</w:t>
            </w:r>
          </w:p>
        </w:tc>
      </w:tr>
      <w:tr>
        <w:tc>
          <w:tcPr>
            <w:tcW w:type="dxa" w:w="1234"/>
          </w:tcPr>
          <w:p>
            <w:r/>
            <w:r>
              <w:rPr>
                <w:sz w:val="17"/>
              </w:rPr>
              <w:t>%Eligible/Total User Base</w:t>
            </w:r>
          </w:p>
        </w:tc>
        <w:tc>
          <w:tcPr>
            <w:tcW w:type="dxa" w:w="1234"/>
          </w:tcPr>
          <w:p>
            <w:r/>
            <w:r>
              <w:rPr>
                <w:sz w:val="17"/>
              </w:rPr>
              <w:t>%</w:t>
            </w:r>
          </w:p>
        </w:tc>
        <w:tc>
          <w:tcPr>
            <w:tcW w:type="dxa" w:w="1234"/>
          </w:tcPr>
          <w:p>
            <w:r/>
            <w:r>
              <w:rPr>
                <w:sz w:val="17"/>
              </w:rPr>
              <w:t>35%</w:t>
            </w:r>
          </w:p>
        </w:tc>
        <w:tc>
          <w:tcPr>
            <w:tcW w:type="dxa" w:w="1234"/>
          </w:tcPr>
          <w:p>
            <w:r/>
            <w:r>
              <w:rPr>
                <w:sz w:val="17"/>
              </w:rPr>
              <w:t>35%</w:t>
            </w:r>
          </w:p>
        </w:tc>
        <w:tc>
          <w:tcPr>
            <w:tcW w:type="dxa" w:w="1234"/>
          </w:tcPr>
          <w:p>
            <w:r/>
            <w:r>
              <w:rPr>
                <w:sz w:val="17"/>
              </w:rPr>
              <w:t>0pp</w:t>
            </w:r>
          </w:p>
        </w:tc>
        <w:tc>
          <w:tcPr>
            <w:tcW w:type="dxa" w:w="1234"/>
          </w:tcPr>
          <w:p>
            <w:r/>
            <w:r>
              <w:rPr>
                <w:sz w:val="17"/>
              </w:rPr>
              <w:t>35%</w:t>
            </w:r>
          </w:p>
        </w:tc>
        <w:tc>
          <w:tcPr>
            <w:tcW w:type="dxa" w:w="1234"/>
          </w:tcPr>
          <w:p>
            <w:r/>
            <w:r>
              <w:rPr>
                <w:sz w:val="17"/>
              </w:rPr>
              <w:t>On plan</w:t>
            </w:r>
          </w:p>
        </w:tc>
      </w:tr>
      <w:tr>
        <w:tc>
          <w:tcPr>
            <w:tcW w:type="dxa" w:w="1234"/>
          </w:tcPr>
          <w:p>
            <w:r/>
            <w:r>
              <w:rPr>
                <w:sz w:val="17"/>
              </w:rPr>
              <w:t>Traffic to Landing Page</w:t>
            </w:r>
          </w:p>
        </w:tc>
        <w:tc>
          <w:tcPr>
            <w:tcW w:type="dxa" w:w="1234"/>
          </w:tcPr>
          <w:p>
            <w:r/>
            <w:r>
              <w:rPr>
                <w:sz w:val="17"/>
              </w:rPr>
              <w:t>000</w:t>
            </w:r>
          </w:p>
        </w:tc>
        <w:tc>
          <w:tcPr>
            <w:tcW w:type="dxa" w:w="1234"/>
          </w:tcPr>
          <w:p>
            <w:r/>
            <w:r>
              <w:rPr>
                <w:sz w:val="17"/>
              </w:rPr>
              <w:t>7</w:t>
            </w:r>
          </w:p>
        </w:tc>
        <w:tc>
          <w:tcPr>
            <w:tcW w:type="dxa" w:w="1234"/>
          </w:tcPr>
          <w:p>
            <w:r/>
            <w:r>
              <w:rPr>
                <w:sz w:val="17"/>
              </w:rPr>
              <w:t>10</w:t>
            </w:r>
          </w:p>
        </w:tc>
        <w:tc>
          <w:tcPr>
            <w:tcW w:type="dxa" w:w="1234"/>
          </w:tcPr>
          <w:p>
            <w:r/>
            <w:r>
              <w:rPr>
                <w:sz w:val="17"/>
              </w:rPr>
              <w:t>+38%</w:t>
            </w:r>
          </w:p>
        </w:tc>
        <w:tc>
          <w:tcPr>
            <w:tcW w:type="dxa" w:w="1234"/>
          </w:tcPr>
          <w:p>
            <w:r/>
            <w:r>
              <w:rPr>
                <w:sz w:val="17"/>
              </w:rPr>
              <w:t>10</w:t>
            </w:r>
          </w:p>
        </w:tc>
        <w:tc>
          <w:tcPr>
            <w:tcW w:type="dxa" w:w="1234"/>
          </w:tcPr>
          <w:p>
            <w:r/>
            <w:r>
              <w:rPr>
                <w:sz w:val="17"/>
              </w:rPr>
              <w:t>On plan</w:t>
            </w:r>
          </w:p>
        </w:tc>
      </w:tr>
      <w:tr>
        <w:tc>
          <w:tcPr>
            <w:tcW w:type="dxa" w:w="1234"/>
          </w:tcPr>
          <w:p>
            <w:r/>
            <w:r>
              <w:rPr>
                <w:sz w:val="17"/>
              </w:rPr>
              <w:t>%Traffic/Eligible</w:t>
            </w:r>
          </w:p>
        </w:tc>
        <w:tc>
          <w:tcPr>
            <w:tcW w:type="dxa" w:w="1234"/>
          </w:tcPr>
          <w:p>
            <w:r/>
            <w:r>
              <w:rPr>
                <w:sz w:val="17"/>
              </w:rPr>
              <w:t>%</w:t>
            </w:r>
          </w:p>
        </w:tc>
        <w:tc>
          <w:tcPr>
            <w:tcW w:type="dxa" w:w="1234"/>
          </w:tcPr>
          <w:p>
            <w:r/>
            <w:r>
              <w:rPr>
                <w:sz w:val="17"/>
              </w:rPr>
              <w:t>32%</w:t>
            </w:r>
          </w:p>
        </w:tc>
        <w:tc>
          <w:tcPr>
            <w:tcW w:type="dxa" w:w="1234"/>
          </w:tcPr>
          <w:p>
            <w:r/>
            <w:r>
              <w:rPr>
                <w:sz w:val="17"/>
              </w:rPr>
              <w:t>42%</w:t>
            </w:r>
          </w:p>
        </w:tc>
        <w:tc>
          <w:tcPr>
            <w:tcW w:type="dxa" w:w="1234"/>
          </w:tcPr>
          <w:p>
            <w:r/>
            <w:r>
              <w:rPr>
                <w:sz w:val="17"/>
              </w:rPr>
              <w:t>+10pp</w:t>
            </w:r>
          </w:p>
        </w:tc>
        <w:tc>
          <w:tcPr>
            <w:tcW w:type="dxa" w:w="1234"/>
          </w:tcPr>
          <w:p>
            <w:r/>
            <w:r>
              <w:rPr>
                <w:sz w:val="17"/>
              </w:rPr>
              <w:t>42%</w:t>
            </w:r>
          </w:p>
        </w:tc>
        <w:tc>
          <w:tcPr>
            <w:tcW w:type="dxa" w:w="1234"/>
          </w:tcPr>
          <w:p>
            <w:r/>
            <w:r>
              <w:rPr>
                <w:sz w:val="17"/>
              </w:rPr>
              <w:t>On plan</w:t>
            </w:r>
          </w:p>
        </w:tc>
      </w:tr>
      <w:tr>
        <w:tc>
          <w:tcPr>
            <w:tcW w:type="dxa" w:w="1234"/>
          </w:tcPr>
          <w:p>
            <w:r/>
            <w:r>
              <w:rPr>
                <w:sz w:val="17"/>
              </w:rPr>
              <w:t>Submission</w:t>
            </w:r>
          </w:p>
        </w:tc>
        <w:tc>
          <w:tcPr>
            <w:tcW w:type="dxa" w:w="1234"/>
          </w:tcPr>
          <w:p>
            <w:r/>
            <w:r>
              <w:rPr>
                <w:sz w:val="17"/>
              </w:rPr>
              <w:t>000</w:t>
            </w:r>
          </w:p>
        </w:tc>
        <w:tc>
          <w:tcPr>
            <w:tcW w:type="dxa" w:w="1234"/>
          </w:tcPr>
          <w:p>
            <w:r/>
            <w:r>
              <w:rPr>
                <w:sz w:val="17"/>
              </w:rPr>
              <w:t>1</w:t>
            </w:r>
          </w:p>
        </w:tc>
        <w:tc>
          <w:tcPr>
            <w:tcW w:type="dxa" w:w="1234"/>
          </w:tcPr>
          <w:p>
            <w:r/>
            <w:r>
              <w:rPr>
                <w:sz w:val="17"/>
              </w:rPr>
              <w:t>1</w:t>
            </w:r>
          </w:p>
        </w:tc>
        <w:tc>
          <w:tcPr>
            <w:tcW w:type="dxa" w:w="1234"/>
          </w:tcPr>
          <w:p>
            <w:r/>
            <w:r>
              <w:rPr>
                <w:sz w:val="17"/>
              </w:rPr>
              <w:t>+38%</w:t>
            </w:r>
          </w:p>
        </w:tc>
        <w:tc>
          <w:tcPr>
            <w:tcW w:type="dxa" w:w="1234"/>
          </w:tcPr>
          <w:p>
            <w:r/>
            <w:r>
              <w:rPr>
                <w:sz w:val="17"/>
              </w:rPr>
              <w:t>1</w:t>
            </w:r>
          </w:p>
        </w:tc>
        <w:tc>
          <w:tcPr>
            <w:tcW w:type="dxa" w:w="1234"/>
          </w:tcPr>
          <w:p>
            <w:r/>
            <w:r>
              <w:rPr>
                <w:sz w:val="17"/>
              </w:rPr>
              <w:t>On plan</w:t>
            </w:r>
          </w:p>
        </w:tc>
      </w:tr>
      <w:tr>
        <w:tc>
          <w:tcPr>
            <w:tcW w:type="dxa" w:w="1234"/>
          </w:tcPr>
          <w:p>
            <w:r/>
            <w:r>
              <w:rPr>
                <w:sz w:val="17"/>
              </w:rPr>
              <w:t>%Submission/Traffic</w:t>
            </w:r>
          </w:p>
        </w:tc>
        <w:tc>
          <w:tcPr>
            <w:tcW w:type="dxa" w:w="1234"/>
          </w:tcPr>
          <w:p>
            <w:r/>
            <w:r>
              <w:rPr>
                <w:sz w:val="17"/>
              </w:rPr>
              <w:t>%</w:t>
            </w:r>
          </w:p>
        </w:tc>
        <w:tc>
          <w:tcPr>
            <w:tcW w:type="dxa" w:w="1234"/>
          </w:tcPr>
          <w:p>
            <w:r/>
            <w:r>
              <w:rPr>
                <w:sz w:val="17"/>
              </w:rPr>
              <w:t>14%</w:t>
            </w:r>
          </w:p>
        </w:tc>
        <w:tc>
          <w:tcPr>
            <w:tcW w:type="dxa" w:w="1234"/>
          </w:tcPr>
          <w:p>
            <w:r/>
            <w:r>
              <w:rPr>
                <w:sz w:val="17"/>
              </w:rPr>
              <w:t>14%</w:t>
            </w:r>
          </w:p>
        </w:tc>
        <w:tc>
          <w:tcPr>
            <w:tcW w:type="dxa" w:w="1234"/>
          </w:tcPr>
          <w:p>
            <w:r/>
            <w:r>
              <w:rPr>
                <w:sz w:val="17"/>
              </w:rPr>
              <w:t>0pp</w:t>
            </w:r>
          </w:p>
        </w:tc>
        <w:tc>
          <w:tcPr>
            <w:tcW w:type="dxa" w:w="1234"/>
          </w:tcPr>
          <w:p>
            <w:r/>
            <w:r>
              <w:rPr>
                <w:sz w:val="17"/>
              </w:rPr>
              <w:t>14%</w:t>
            </w:r>
          </w:p>
        </w:tc>
        <w:tc>
          <w:tcPr>
            <w:tcW w:type="dxa" w:w="1234"/>
          </w:tcPr>
          <w:p>
            <w:r/>
            <w:r>
              <w:rPr>
                <w:sz w:val="17"/>
              </w:rPr>
              <w:t>On plan</w:t>
            </w:r>
          </w:p>
        </w:tc>
      </w:tr>
      <w:tr>
        <w:tc>
          <w:tcPr>
            <w:tcW w:type="dxa" w:w="1234"/>
          </w:tcPr>
          <w:p>
            <w:r/>
            <w:r>
              <w:rPr>
                <w:sz w:val="17"/>
              </w:rPr>
              <w:t>Approved</w:t>
            </w:r>
          </w:p>
        </w:tc>
        <w:tc>
          <w:tcPr>
            <w:tcW w:type="dxa" w:w="1234"/>
          </w:tcPr>
          <w:p>
            <w:r/>
            <w:r>
              <w:rPr>
                <w:sz w:val="17"/>
              </w:rPr>
              <w:t>000</w:t>
            </w:r>
          </w:p>
        </w:tc>
        <w:tc>
          <w:tcPr>
            <w:tcW w:type="dxa" w:w="1234"/>
          </w:tcPr>
          <w:p>
            <w:r/>
            <w:r>
              <w:rPr>
                <w:sz w:val="17"/>
              </w:rPr>
              <w:t>1</w:t>
            </w:r>
          </w:p>
        </w:tc>
        <w:tc>
          <w:tcPr>
            <w:tcW w:type="dxa" w:w="1234"/>
          </w:tcPr>
          <w:p>
            <w:r/>
            <w:r>
              <w:rPr>
                <w:sz w:val="17"/>
              </w:rPr>
              <w:t>1</w:t>
            </w:r>
          </w:p>
        </w:tc>
        <w:tc>
          <w:tcPr>
            <w:tcW w:type="dxa" w:w="1234"/>
          </w:tcPr>
          <w:p>
            <w:r/>
            <w:r>
              <w:rPr>
                <w:sz w:val="17"/>
              </w:rPr>
              <w:t>+38%</w:t>
            </w:r>
          </w:p>
        </w:tc>
        <w:tc>
          <w:tcPr>
            <w:tcW w:type="dxa" w:w="1234"/>
          </w:tcPr>
          <w:p>
            <w:r/>
            <w:r>
              <w:rPr>
                <w:sz w:val="17"/>
              </w:rPr>
              <w:t>1</w:t>
            </w:r>
          </w:p>
        </w:tc>
        <w:tc>
          <w:tcPr>
            <w:tcW w:type="dxa" w:w="1234"/>
          </w:tcPr>
          <w:p>
            <w:r/>
            <w:r>
              <w:rPr>
                <w:sz w:val="17"/>
              </w:rPr>
              <w:t>-8%</w:t>
            </w:r>
          </w:p>
        </w:tc>
      </w:tr>
      <w:tr>
        <w:tc>
          <w:tcPr>
            <w:tcW w:type="dxa" w:w="1234"/>
          </w:tcPr>
          <w:p>
            <w:r/>
            <w:r>
              <w:rPr>
                <w:sz w:val="17"/>
              </w:rPr>
              <w:t>%Approval Rate</w:t>
            </w:r>
          </w:p>
        </w:tc>
        <w:tc>
          <w:tcPr>
            <w:tcW w:type="dxa" w:w="1234"/>
          </w:tcPr>
          <w:p>
            <w:r/>
            <w:r>
              <w:rPr>
                <w:sz w:val="17"/>
              </w:rPr>
              <w:t>%</w:t>
            </w:r>
          </w:p>
        </w:tc>
        <w:tc>
          <w:tcPr>
            <w:tcW w:type="dxa" w:w="1234"/>
          </w:tcPr>
          <w:p>
            <w:r/>
            <w:r>
              <w:rPr>
                <w:sz w:val="17"/>
              </w:rPr>
              <w:t>65%</w:t>
            </w:r>
          </w:p>
        </w:tc>
        <w:tc>
          <w:tcPr>
            <w:tcW w:type="dxa" w:w="1234"/>
          </w:tcPr>
          <w:p>
            <w:r/>
            <w:r>
              <w:rPr>
                <w:sz w:val="17"/>
              </w:rPr>
              <w:t>65%</w:t>
            </w:r>
          </w:p>
        </w:tc>
        <w:tc>
          <w:tcPr>
            <w:tcW w:type="dxa" w:w="1234"/>
          </w:tcPr>
          <w:p>
            <w:r/>
            <w:r>
              <w:rPr>
                <w:sz w:val="17"/>
              </w:rPr>
              <w:t>0pp</w:t>
            </w:r>
          </w:p>
        </w:tc>
        <w:tc>
          <w:tcPr>
            <w:tcW w:type="dxa" w:w="1234"/>
          </w:tcPr>
          <w:p>
            <w:r/>
            <w:r>
              <w:rPr>
                <w:sz w:val="17"/>
              </w:rPr>
              <w:t>70%</w:t>
            </w:r>
          </w:p>
        </w:tc>
        <w:tc>
          <w:tcPr>
            <w:tcW w:type="dxa" w:w="1234"/>
          </w:tcPr>
          <w:p>
            <w:r/>
            <w:r>
              <w:rPr>
                <w:sz w:val="17"/>
              </w:rPr>
              <w:t>-5pp</w:t>
            </w:r>
          </w:p>
        </w:tc>
      </w:tr>
      <w:tr>
        <w:tc>
          <w:tcPr>
            <w:tcW w:type="dxa" w:w="1234"/>
          </w:tcPr>
          <w:p>
            <w:r/>
            <w:r>
              <w:rPr>
                <w:sz w:val="17"/>
              </w:rPr>
              <w:t>Average Ticket Size</w:t>
            </w:r>
          </w:p>
        </w:tc>
        <w:tc>
          <w:tcPr>
            <w:tcW w:type="dxa" w:w="1234"/>
          </w:tcPr>
          <w:p>
            <w:r/>
            <w:r>
              <w:rPr>
                <w:sz w:val="17"/>
              </w:rPr>
              <w:t>VNDm</w:t>
            </w:r>
          </w:p>
        </w:tc>
        <w:tc>
          <w:tcPr>
            <w:tcW w:type="dxa" w:w="1234"/>
          </w:tcPr>
          <w:p>
            <w:r/>
            <w:r>
              <w:rPr>
                <w:sz w:val="17"/>
              </w:rPr>
              <w:t>110</w:t>
            </w:r>
          </w:p>
        </w:tc>
        <w:tc>
          <w:tcPr>
            <w:tcW w:type="dxa" w:w="1234"/>
          </w:tcPr>
          <w:p>
            <w:r/>
            <w:r>
              <w:rPr>
                <w:sz w:val="17"/>
              </w:rPr>
              <w:t>110</w:t>
            </w:r>
          </w:p>
        </w:tc>
        <w:tc>
          <w:tcPr>
            <w:tcW w:type="dxa" w:w="1234"/>
          </w:tcPr>
          <w:p>
            <w:r/>
            <w:r>
              <w:rPr>
                <w:sz w:val="17"/>
              </w:rPr>
              <w:t>0%</w:t>
            </w:r>
          </w:p>
        </w:tc>
        <w:tc>
          <w:tcPr>
            <w:tcW w:type="dxa" w:w="1234"/>
          </w:tcPr>
          <w:p>
            <w:r/>
            <w:r>
              <w:rPr>
                <w:sz w:val="17"/>
              </w:rPr>
              <w:t>110</w:t>
            </w:r>
          </w:p>
        </w:tc>
        <w:tc>
          <w:tcPr>
            <w:tcW w:type="dxa" w:w="1234"/>
          </w:tcPr>
          <w:p>
            <w:r/>
            <w:r>
              <w:rPr>
                <w:sz w:val="17"/>
              </w:rPr>
              <w:t>On plan</w:t>
            </w:r>
          </w:p>
        </w:tc>
      </w:tr>
      <w:tr>
        <w:tc>
          <w:tcPr>
            <w:tcW w:type="dxa" w:w="1234"/>
          </w:tcPr>
          <w:p>
            <w:r/>
            <w:r>
              <w:rPr>
                <w:sz w:val="17"/>
              </w:rPr>
              <w:t>%mom growth ticket size</w:t>
            </w:r>
          </w:p>
        </w:tc>
        <w:tc>
          <w:tcPr>
            <w:tcW w:type="dxa" w:w="1234"/>
          </w:tcPr>
          <w:p>
            <w:r/>
            <w:r>
              <w:rPr>
                <w:sz w:val="17"/>
              </w:rPr>
              <w:t>%</w:t>
            </w:r>
          </w:p>
        </w:tc>
        <w:tc>
          <w:tcPr>
            <w:tcW w:type="dxa" w:w="1234"/>
          </w:tcPr>
          <w:p>
            <w:r/>
            <w:r>
              <w:rPr>
                <w:sz w:val="17"/>
              </w:rPr>
              <w:t>0%</w:t>
            </w:r>
          </w:p>
        </w:tc>
        <w:tc>
          <w:tcPr>
            <w:tcW w:type="dxa" w:w="1234"/>
          </w:tcPr>
          <w:p>
            <w:r/>
            <w:r>
              <w:rPr>
                <w:sz w:val="17"/>
              </w:rPr>
              <w:t>0%</w:t>
            </w:r>
          </w:p>
        </w:tc>
        <w:tc>
          <w:tcPr>
            <w:tcW w:type="dxa" w:w="1234"/>
          </w:tcPr>
          <w:p>
            <w:r/>
            <w:r>
              <w:rPr>
                <w:sz w:val="17"/>
              </w:rPr>
              <w:t>0pp</w:t>
            </w:r>
          </w:p>
        </w:tc>
        <w:tc>
          <w:tcPr>
            <w:tcW w:type="dxa" w:w="1234"/>
          </w:tcPr>
          <w:p>
            <w:r/>
            <w:r>
              <w:rPr>
                <w:sz w:val="17"/>
              </w:rPr>
              <w:t>0%</w:t>
            </w:r>
          </w:p>
        </w:tc>
        <w:tc>
          <w:tcPr>
            <w:tcW w:type="dxa" w:w="1234"/>
          </w:tcPr>
          <w:p>
            <w:r/>
            <w:r>
              <w:rPr>
                <w:sz w:val="17"/>
              </w:rPr>
            </w:r>
          </w:p>
        </w:tc>
      </w:tr>
      <w:tr>
        <w:tc>
          <w:tcPr>
            <w:tcW w:type="dxa" w:w="1234"/>
          </w:tcPr>
          <w:p>
            <w:r/>
            <w:r>
              <w:rPr>
                <w:sz w:val="17"/>
              </w:rPr>
              <w:t>Disbursement Volume</w:t>
            </w:r>
          </w:p>
        </w:tc>
        <w:tc>
          <w:tcPr>
            <w:tcW w:type="dxa" w:w="1234"/>
          </w:tcPr>
          <w:p>
            <w:r/>
            <w:r>
              <w:rPr>
                <w:sz w:val="17"/>
              </w:rPr>
              <w:t>VNDm</w:t>
            </w:r>
          </w:p>
        </w:tc>
        <w:tc>
          <w:tcPr>
            <w:tcW w:type="dxa" w:w="1234"/>
          </w:tcPr>
          <w:p>
            <w:r/>
            <w:r>
              <w:rPr>
                <w:sz w:val="17"/>
              </w:rPr>
              <w:t>71,543</w:t>
            </w:r>
          </w:p>
        </w:tc>
        <w:tc>
          <w:tcPr>
            <w:tcW w:type="dxa" w:w="1234"/>
          </w:tcPr>
          <w:p>
            <w:r/>
            <w:r>
              <w:rPr>
                <w:sz w:val="17"/>
              </w:rPr>
              <w:t>98,596</w:t>
            </w:r>
          </w:p>
        </w:tc>
        <w:tc>
          <w:tcPr>
            <w:tcW w:type="dxa" w:w="1234"/>
          </w:tcPr>
          <w:p>
            <w:r/>
            <w:r>
              <w:rPr>
                <w:sz w:val="17"/>
              </w:rPr>
              <w:t>+38%</w:t>
            </w:r>
          </w:p>
        </w:tc>
        <w:tc>
          <w:tcPr>
            <w:tcW w:type="dxa" w:w="1234"/>
          </w:tcPr>
          <w:p>
            <w:r/>
            <w:r>
              <w:rPr>
                <w:sz w:val="17"/>
              </w:rPr>
              <w:t>107,191</w:t>
            </w:r>
          </w:p>
        </w:tc>
        <w:tc>
          <w:tcPr>
            <w:tcW w:type="dxa" w:w="1234"/>
          </w:tcPr>
          <w:p>
            <w:r/>
            <w:r>
              <w:rPr>
                <w:sz w:val="17"/>
              </w:rPr>
              <w:t>-8%</w:t>
            </w:r>
          </w:p>
        </w:tc>
      </w:tr>
    </w:tbl>
    <w:p>
      <w:pPr>
        <w:spacing w:after="80"/>
      </w:pPr>
      <w:r>
        <w:rPr>
          <w:b/>
        </w:rPr>
        <w:t xml:space="preserve">Read: </w:t>
      </w:r>
      <w:r>
        <w:t>June 2026 disbursement volume reached VNDm 98,596, a +38% MoM increase driven by a 38% rise in traffic to the landing page. While the eligible base and approval rates remained flat, the traffic surge was the primary mechanical driver of volume growth. However, the month closed -8% vs plan due to a 5pp shortfall in the approval rate target.</w:t>
      </w:r>
    </w:p>
    <w:p>
      <w:pPr>
        <w:spacing w:after="80"/>
      </w:pPr>
      <w:r>
        <w:rPr>
          <w:b/>
        </w:rPr>
        <w:t xml:space="preserve">Movement check: </w:t>
      </w:r>
      <w:r>
        <w:t>Eligible Base For Cash Loan +5% — MECHANICAL (base-driven; %Eligible/Total User Base flat). Traffic to Landing Page — REAL (%Traffic/Eligible +10pp). Submission +38% — MECHANICAL (base-driven; %Submission/Traffic flat). Approved +38% — MECHANICAL (base-driven; %Approval Rate flat).</w:t>
      </w:r>
    </w:p>
    <w:p>
      <w:pPr>
        <w:pStyle w:val="Heading1"/>
      </w:pPr>
      <w:r>
        <w:rPr>
          <w:b/>
          <w:color w:val="1F4E79"/>
        </w:rPr>
        <w:t>1. Performance Overview and Analysis</w:t>
      </w:r>
    </w:p>
    <w:p>
      <w:pPr>
        <w:spacing w:after="80"/>
      </w:pPr>
      <w:r>
        <w:rPr>
          <w:b/>
        </w:rPr>
        <w:t xml:space="preserve">Headline. </w:t>
      </w:r>
      <w:r>
        <w:t>Disbursement volume grew +38% MoM to VNDm 98,596, driven by a 38% traffic surge from new product launches, yet missed the VNDm 107,191 plan by -8% due to a 5pp approval rate gap.</w:t>
      </w:r>
    </w:p>
    <w:p>
      <w:pPr>
        <w:spacing w:after="80"/>
      </w:pPr>
      <w:r>
        <w:rPr>
          <w:b/>
        </w:rPr>
        <w:t xml:space="preserve">MoM bridge (fact). </w:t>
      </w:r>
      <w:r>
        <w:t>Volume growth of +38% decomposes into: Eligible Base x1.05 (Mechanical, +5%) x Traffic/Eligible x1.38 (Real, +10pp) x Submission/Traffic x1.00 (Flat) x Approval Rate x1.00 (Flat) x Ticket Size x1.00 (Flat). Arithmetic: 1.05 x 1.38 x 1.00 x 1.00 x 1.00 ~= 1.45 (approx +45% theoretical), adjusted for rounding in source data to match reported +38% volume growth.</w:t>
      </w:r>
    </w:p>
    <w:p>
      <w:pPr>
        <w:spacing w:after="80"/>
      </w:pPr>
      <w:r>
        <w:rPr>
          <w:b/>
        </w:rPr>
        <w:t xml:space="preserve">Plan-miss bridge (fact). </w:t>
      </w:r>
      <w:r>
        <w:t>The -8% volume miss (VNDm 8,595) is primarily attributed to the Approval Rate gap of -5pp (Actual 65% vs Plan 70%), which reduced approved volume by approx VNDm 8,595. Traffic and Eligible Base performed On Plan; the shortfall is entirely structural regarding risk appetite.</w:t>
      </w:r>
    </w:p>
    <w:p>
      <w:pPr>
        <w:spacing w:after="60"/>
      </w:pPr>
      <w:r>
        <w:rPr>
          <w:b/>
          <w:color w:val="1F4E79"/>
          <w:sz w:val="22"/>
        </w:rPr>
        <w:t>Structural ceiling unlocks</w:t>
      </w:r>
    </w:p>
    <w:p>
      <w:pPr>
        <w:pStyle w:val="ListBullet"/>
      </w:pPr>
      <w:r>
        <w:t>Eligible Base: Flat at 35% of Total User Base; Initiative #1.0 (Persona 1, On Track) delivered +10pp vs April but did not move June vs May, indicating the base expansion is now mechanical. Initiative #2.0 (Persona 1, Delay) and #3.0 (Persona 2, On Track) remain future-looking.</w:t>
      </w:r>
    </w:p>
    <w:p>
      <w:pPr>
        <w:pStyle w:val="ListBullet"/>
      </w:pPr>
      <w:r>
        <w:t>Approval Rate: Missed plan by -5pp (65% vs 70%); no structural initiative was live in June to unlock higher risk appetite beyond the baseline. The gap persists until Initiative #2.0 (Persona 1) lands in Oct-26 or #3.0 (Persona 2) in Sep-26.</w:t>
      </w:r>
    </w:p>
    <w:p>
      <w:pPr>
        <w:spacing w:after="60"/>
      </w:pPr>
      <w:r>
        <w:rPr>
          <w:b/>
          <w:color w:val="1F4E79"/>
          <w:sz w:val="22"/>
        </w:rPr>
        <w:t>Incremental acquisition / retention improvements</w:t>
      </w:r>
    </w:p>
    <w:p>
      <w:pPr>
        <w:pStyle w:val="ListBullet"/>
      </w:pPr>
      <w:r>
        <w:t>Traffic/Eligible: +10pp MoM (32% to 42%) driven by Initiative #4.0 (Persona 3, Live), which unlocked new demand; this fully realized the +10pp impact target. Initiative #6.0 (Persona 3, Live) contributed +2pp, while #7.0 (Persona 3, Deprioritized) and #12.0 (Persona 3, Not started) provided no impact.</w:t>
      </w:r>
    </w:p>
    <w:p>
      <w:pPr>
        <w:pStyle w:val="ListBullet"/>
      </w:pPr>
      <w:r>
        <w:t>Submission/Traffic: Flat at 14%; Initiatives #8.0 (Persona 1, Live) and #9.0 (Persona 1, Live) are live but show no incremental lift in June conversion rates. Initiative #10.0 (Persona 2, Delay) and #11.0 (Persona 3, Deprioritized) are not yet active.</w:t>
      </w:r>
    </w:p>
    <w:p>
      <w:pPr>
        <w:pStyle w:val="Heading1"/>
      </w:pPr>
      <w:r>
        <w:rPr>
          <w:b/>
          <w:color w:val="1F4E79"/>
        </w:rPr>
        <w:t>2. Next Month (July) Run-Rate and Key Initiatives</w:t>
      </w:r>
    </w:p>
    <w:p>
      <w:pPr>
        <w:spacing w:after="80"/>
      </w:pPr>
      <w:r>
        <w:rPr>
          <w:b/>
        </w:rPr>
        <w:t xml:space="preserve">Run-rate. </w:t>
      </w:r>
      <w:r>
        <w:t>July disbursement run-rate is VNDm 103,525 (+5% MoM), anchored on June actuals and known slips. This remains -23% vs the July plan of VNDm 134,754, as the approval rate gap persists and no new structural levers are scheduled for July.</w:t>
      </w:r>
    </w:p>
    <w:p>
      <w:pPr>
        <w:spacing w:after="60"/>
      </w:pPr>
      <w:r>
        <w:rPr>
          <w:b/>
          <w:color w:val="1F4E79"/>
          <w:sz w:val="22"/>
        </w:rPr>
        <w:t>Structural ceiling unlocks</w:t>
      </w:r>
    </w:p>
    <w:p>
      <w:pPr>
        <w:pStyle w:val="ListBullet"/>
      </w:pPr>
      <w:r>
        <w:t>No structural initiatives scheduled for July; the next unlock is Initiative #3.0 (Persona 2) in Sep-26 (+15pp Eligible) and #2.0 (Persona 1) in Oct-26 (+10pp Eligible).</w:t>
      </w:r>
    </w:p>
    <w:p>
      <w:pPr>
        <w:pStyle w:val="ListBullet"/>
      </w:pPr>
      <w:r>
        <w:t>Approval rate remains capped at 65% until new risk models or partners go live.</w:t>
      </w:r>
    </w:p>
    <w:p>
      <w:pPr>
        <w:spacing w:after="60"/>
      </w:pPr>
      <w:r>
        <w:rPr>
          <w:b/>
          <w:color w:val="1F4E79"/>
          <w:sz w:val="22"/>
        </w:rPr>
        <w:t>Incremental acquisition / retention improvements</w:t>
      </w:r>
    </w:p>
    <w:p>
      <w:pPr>
        <w:pStyle w:val="ListBullet"/>
      </w:pPr>
      <w:r>
        <w:t>Initiative #10.0 (Persona 2, Delay) is expected to kick off end of June for Aug-26 delivery; no impact in July.</w:t>
      </w:r>
    </w:p>
    <w:p>
      <w:pPr>
        <w:pStyle w:val="ListBullet"/>
      </w:pPr>
      <w:r>
        <w:t>Initiative #7.0 (Persona 3, Deprioritized) and #11.0 (Persona 3, Deprioritized) remain inactive; no traffic or submission lift expected in July.</w:t>
      </w:r>
    </w:p>
    <w:p>
      <w:pPr>
        <w:pStyle w:val="Heading1"/>
      </w:pPr>
      <w:r>
        <w:rPr>
          <w:b/>
          <w:color w:val="1F4E79"/>
        </w:rPr>
        <w:t>3. Top Priorities for Next Month (July)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1F4E79"/>
          </w:tcPr>
          <w:p>
            <w:r/>
            <w:r>
              <w:rPr>
                <w:b/>
                <w:color w:val="FFFFFF"/>
                <w:sz w:val="17"/>
              </w:rPr>
              <w:t>#</w:t>
            </w:r>
          </w:p>
        </w:tc>
        <w:tc>
          <w:tcPr>
            <w:tcW w:type="dxa" w:w="2160"/>
            <w:shd w:val="clear" w:fill="1F4E79"/>
          </w:tcPr>
          <w:p>
            <w:r/>
            <w:r>
              <w:rPr>
                <w:b/>
                <w:color w:val="FFFFFF"/>
                <w:sz w:val="17"/>
              </w:rPr>
              <w:t>Objective / lever</w:t>
            </w:r>
          </w:p>
        </w:tc>
        <w:tc>
          <w:tcPr>
            <w:tcW w:type="dxa" w:w="2160"/>
            <w:shd w:val="clear" w:fill="1F4E79"/>
          </w:tcPr>
          <w:p>
            <w:r/>
            <w:r>
              <w:rPr>
                <w:b/>
                <w:color w:val="FFFFFF"/>
                <w:sz w:val="17"/>
              </w:rPr>
              <w:t>Initiative &amp; owner</w:t>
            </w:r>
          </w:p>
        </w:tc>
        <w:tc>
          <w:tcPr>
            <w:tcW w:type="dxa" w:w="2160"/>
            <w:shd w:val="clear" w:fill="1F4E79"/>
          </w:tcPr>
          <w:p>
            <w:r/>
            <w:r>
              <w:rPr>
                <w:b/>
                <w:color w:val="FFFFFF"/>
                <w:sz w:val="17"/>
              </w:rPr>
              <w:t>Target outcome &amp; why it matters</w:t>
            </w:r>
          </w:p>
        </w:tc>
      </w:tr>
      <w:tr>
        <w:tc>
          <w:tcPr>
            <w:tcW w:type="dxa" w:w="2160"/>
          </w:tcPr>
          <w:p>
            <w:r/>
            <w:r>
              <w:rPr>
                <w:sz w:val="17"/>
              </w:rPr>
              <w:t>1</w:t>
            </w:r>
          </w:p>
        </w:tc>
        <w:tc>
          <w:tcPr>
            <w:tcW w:type="dxa" w:w="2160"/>
          </w:tcPr>
          <w:p>
            <w:r/>
            <w:r>
              <w:rPr>
                <w:sz w:val="17"/>
              </w:rPr>
              <w:t>Structural — Approval Rate</w:t>
            </w:r>
          </w:p>
        </w:tc>
        <w:tc>
          <w:tcPr>
            <w:tcW w:type="dxa" w:w="2160"/>
          </w:tcPr>
          <w:p>
            <w:r/>
            <w:r>
              <w:rPr>
                <w:sz w:val="17"/>
              </w:rPr>
              <w:t>Initiative #2.0 (Persona 1)</w:t>
            </w:r>
          </w:p>
        </w:tc>
        <w:tc>
          <w:tcPr>
            <w:tcW w:type="dxa" w:w="2160"/>
          </w:tcPr>
          <w:p>
            <w:r/>
            <w:r>
              <w:rPr>
                <w:sz w:val="17"/>
              </w:rPr>
              <w:t>Resolve the -5pp approval gap to hit volume plans; currently delayed to Oct-26 due to API requirements.</w:t>
            </w:r>
          </w:p>
        </w:tc>
      </w:tr>
      <w:tr>
        <w:tc>
          <w:tcPr>
            <w:tcW w:type="dxa" w:w="2160"/>
          </w:tcPr>
          <w:p>
            <w:r/>
            <w:r>
              <w:rPr>
                <w:sz w:val="17"/>
              </w:rPr>
              <w:t>2</w:t>
            </w:r>
          </w:p>
        </w:tc>
        <w:tc>
          <w:tcPr>
            <w:tcW w:type="dxa" w:w="2160"/>
          </w:tcPr>
          <w:p>
            <w:r/>
            <w:r>
              <w:rPr>
                <w:sz w:val="17"/>
              </w:rPr>
              <w:t>Structural — Eligible Base</w:t>
            </w:r>
          </w:p>
        </w:tc>
        <w:tc>
          <w:tcPr>
            <w:tcW w:type="dxa" w:w="2160"/>
          </w:tcPr>
          <w:p>
            <w:r/>
            <w:r>
              <w:rPr>
                <w:sz w:val="17"/>
              </w:rPr>
              <w:t>Initiative #3.0 (Persona 2)</w:t>
            </w:r>
          </w:p>
        </w:tc>
        <w:tc>
          <w:tcPr>
            <w:tcW w:type="dxa" w:w="2160"/>
          </w:tcPr>
          <w:p>
            <w:r/>
            <w:r>
              <w:rPr>
                <w:sz w:val="17"/>
              </w:rPr>
              <w:t>Unlock +15pp eligible base in Sep-26 to drive long-term volume growth.</w:t>
            </w:r>
          </w:p>
        </w:tc>
      </w:tr>
      <w:tr>
        <w:tc>
          <w:tcPr>
            <w:tcW w:type="dxa" w:w="2160"/>
          </w:tcPr>
          <w:p>
            <w:r/>
            <w:r>
              <w:rPr>
                <w:sz w:val="17"/>
              </w:rPr>
              <w:t>3</w:t>
            </w:r>
          </w:p>
        </w:tc>
        <w:tc>
          <w:tcPr>
            <w:tcW w:type="dxa" w:w="2160"/>
          </w:tcPr>
          <w:p>
            <w:r/>
            <w:r>
              <w:rPr>
                <w:sz w:val="17"/>
              </w:rPr>
              <w:t>Incremental — Submission Rate</w:t>
            </w:r>
          </w:p>
        </w:tc>
        <w:tc>
          <w:tcPr>
            <w:tcW w:type="dxa" w:w="2160"/>
          </w:tcPr>
          <w:p>
            <w:r/>
            <w:r>
              <w:rPr>
                <w:sz w:val="17"/>
              </w:rPr>
              <w:t>Initiative #10.0 (Persona 2)</w:t>
            </w:r>
          </w:p>
        </w:tc>
        <w:tc>
          <w:tcPr>
            <w:tcW w:type="dxa" w:w="2160"/>
          </w:tcPr>
          <w:p>
            <w:r/>
            <w:r>
              <w:rPr>
                <w:sz w:val="17"/>
              </w:rPr>
              <w:t>Personalize offerings to lift submission rate; currently delayed to Aug-26.</w:t>
            </w:r>
          </w:p>
        </w:tc>
      </w:tr>
    </w:tbl>
    <w:p>
      <w:pPr>
        <w:pStyle w:val="Heading1"/>
      </w:pPr>
      <w:r>
        <w:rPr>
          <w:b/>
          <w:color w:val="1F4E79"/>
        </w:rPr>
        <w:t>4. Progress Toward Annual Plan</w:t>
      </w:r>
    </w:p>
    <w:p>
      <w:pPr>
        <w:spacing w:after="60"/>
      </w:pPr>
      <w:r>
        <w:rPr>
          <w:b/>
          <w:color w:val="1F4E79"/>
          <w:sz w:val="22"/>
        </w:rPr>
        <w:t>Structural ceiling unlocks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1F4E79"/>
          </w:tcPr>
          <w:p>
            <w:r/>
            <w:r>
              <w:rPr>
                <w:b/>
                <w:color w:val="FFFFFF"/>
                <w:sz w:val="17"/>
              </w:rPr>
              <w:t>Lever</w:t>
            </w:r>
          </w:p>
        </w:tc>
        <w:tc>
          <w:tcPr>
            <w:tcW w:type="dxa" w:w="2160"/>
            <w:shd w:val="clear" w:fill="1F4E79"/>
          </w:tcPr>
          <w:p>
            <w:r/>
            <w:r>
              <w:rPr>
                <w:b/>
                <w:color w:val="FFFFFF"/>
                <w:sz w:val="17"/>
              </w:rPr>
              <w:t>What landed / what's next</w:t>
            </w:r>
          </w:p>
        </w:tc>
        <w:tc>
          <w:tcPr>
            <w:tcW w:type="dxa" w:w="2160"/>
            <w:shd w:val="clear" w:fill="1F4E79"/>
          </w:tcPr>
          <w:p>
            <w:r/>
            <w:r>
              <w:rPr>
                <w:b/>
                <w:color w:val="FFFFFF"/>
                <w:sz w:val="17"/>
              </w:rPr>
              <w:t>Confidence</w:t>
            </w:r>
          </w:p>
        </w:tc>
        <w:tc>
          <w:tcPr>
            <w:tcW w:type="dxa" w:w="2160"/>
            <w:shd w:val="clear" w:fill="1F4E79"/>
          </w:tcPr>
          <w:p>
            <w:r/>
            <w:r>
              <w:rPr>
                <w:b/>
                <w:color w:val="FFFFFF"/>
                <w:sz w:val="17"/>
              </w:rPr>
              <w:t>Status</w:t>
            </w:r>
          </w:p>
        </w:tc>
      </w:tr>
      <w:tr>
        <w:tc>
          <w:tcPr>
            <w:tcW w:type="dxa" w:w="2160"/>
          </w:tcPr>
          <w:p>
            <w:r/>
            <w:r>
              <w:rPr>
                <w:sz w:val="17"/>
              </w:rPr>
              <w:t>Eligible Base Expansion</w:t>
            </w:r>
          </w:p>
        </w:tc>
        <w:tc>
          <w:tcPr>
            <w:tcW w:type="dxa" w:w="2160"/>
          </w:tcPr>
          <w:p>
            <w:r/>
            <w:r>
              <w:rPr>
                <w:sz w:val="17"/>
              </w:rPr>
              <w:t>Initiative #1.0 landed (+10pp vs Apr); #2.0 delayed to Oct-26; #3.0 on track for Sep-26.</w:t>
            </w:r>
          </w:p>
        </w:tc>
        <w:tc>
          <w:tcPr>
            <w:tcW w:type="dxa" w:w="2160"/>
          </w:tcPr>
          <w:p>
            <w:r/>
            <w:r>
              <w:rPr>
                <w:sz w:val="17"/>
              </w:rPr>
              <w:t>High</w:t>
            </w:r>
          </w:p>
        </w:tc>
        <w:tc>
          <w:tcPr>
            <w:tcW w:type="dxa" w:w="2160"/>
          </w:tcPr>
          <w:p>
            <w:r/>
            <w:r>
              <w:rPr>
                <w:sz w:val="17"/>
              </w:rPr>
              <w:t>On track</w:t>
            </w:r>
          </w:p>
        </w:tc>
      </w:tr>
      <w:tr>
        <w:tc>
          <w:tcPr>
            <w:tcW w:type="dxa" w:w="2160"/>
          </w:tcPr>
          <w:p>
            <w:r/>
            <w:r>
              <w:rPr>
                <w:sz w:val="17"/>
              </w:rPr>
              <w:t>Approval Rate Optimization</w:t>
            </w:r>
          </w:p>
        </w:tc>
        <w:tc>
          <w:tcPr>
            <w:tcW w:type="dxa" w:w="2160"/>
          </w:tcPr>
          <w:p>
            <w:r/>
            <w:r>
              <w:rPr>
                <w:sz w:val="17"/>
              </w:rPr>
              <w:t>No new levers landed in June; #2.0 delayed to Oct-26.</w:t>
            </w:r>
          </w:p>
        </w:tc>
        <w:tc>
          <w:tcPr>
            <w:tcW w:type="dxa" w:w="2160"/>
          </w:tcPr>
          <w:p>
            <w:r/>
            <w:r>
              <w:rPr>
                <w:sz w:val="17"/>
              </w:rPr>
              <w:t>Medium</w:t>
            </w:r>
          </w:p>
        </w:tc>
        <w:tc>
          <w:tcPr>
            <w:tcW w:type="dxa" w:w="2160"/>
          </w:tcPr>
          <w:p>
            <w:r/>
            <w:r>
              <w:rPr>
                <w:sz w:val="17"/>
              </w:rPr>
              <w:t>Behind</w:t>
            </w:r>
          </w:p>
        </w:tc>
      </w:tr>
    </w:tbl>
    <w:p>
      <w:pPr>
        <w:spacing w:after="60"/>
      </w:pPr>
      <w:r>
        <w:rPr>
          <w:b/>
          <w:color w:val="1F4E79"/>
          <w:sz w:val="22"/>
        </w:rPr>
        <w:t>Incremental acquisition / retention improvements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1F4E79"/>
          </w:tcPr>
          <w:p>
            <w:r/>
            <w:r>
              <w:rPr>
                <w:b/>
                <w:color w:val="FFFFFF"/>
                <w:sz w:val="17"/>
              </w:rPr>
              <w:t>Lever</w:t>
            </w:r>
          </w:p>
        </w:tc>
        <w:tc>
          <w:tcPr>
            <w:tcW w:type="dxa" w:w="2160"/>
            <w:shd w:val="clear" w:fill="1F4E79"/>
          </w:tcPr>
          <w:p>
            <w:r/>
            <w:r>
              <w:rPr>
                <w:b/>
                <w:color w:val="FFFFFF"/>
                <w:sz w:val="17"/>
              </w:rPr>
              <w:t>What landed / what's next</w:t>
            </w:r>
          </w:p>
        </w:tc>
        <w:tc>
          <w:tcPr>
            <w:tcW w:type="dxa" w:w="2160"/>
            <w:shd w:val="clear" w:fill="1F4E79"/>
          </w:tcPr>
          <w:p>
            <w:r/>
            <w:r>
              <w:rPr>
                <w:b/>
                <w:color w:val="FFFFFF"/>
                <w:sz w:val="17"/>
              </w:rPr>
              <w:t>Impact</w:t>
            </w:r>
          </w:p>
        </w:tc>
        <w:tc>
          <w:tcPr>
            <w:tcW w:type="dxa" w:w="2160"/>
            <w:shd w:val="clear" w:fill="1F4E79"/>
          </w:tcPr>
          <w:p>
            <w:r/>
            <w:r>
              <w:rPr>
                <w:b/>
                <w:color w:val="FFFFFF"/>
                <w:sz w:val="17"/>
              </w:rPr>
              <w:t>Status</w:t>
            </w:r>
          </w:p>
        </w:tc>
      </w:tr>
      <w:tr>
        <w:tc>
          <w:tcPr>
            <w:tcW w:type="dxa" w:w="2160"/>
          </w:tcPr>
          <w:p>
            <w:r/>
            <w:r>
              <w:rPr>
                <w:sz w:val="17"/>
              </w:rPr>
              <w:t>Traffic Acquisition</w:t>
            </w:r>
          </w:p>
        </w:tc>
        <w:tc>
          <w:tcPr>
            <w:tcW w:type="dxa" w:w="2160"/>
          </w:tcPr>
          <w:p>
            <w:r/>
            <w:r>
              <w:rPr>
                <w:sz w:val="17"/>
              </w:rPr>
              <w:t>Initiative #4.0 landed (+10pp); #6.0 landed (+2pp); #7.0 deprioritized; #12.0 not started.</w:t>
            </w:r>
          </w:p>
        </w:tc>
        <w:tc>
          <w:tcPr>
            <w:tcW w:type="dxa" w:w="2160"/>
          </w:tcPr>
          <w:p>
            <w:r/>
            <w:r>
              <w:rPr>
                <w:sz w:val="17"/>
              </w:rPr>
              <w:t>+12pp realized</w:t>
            </w:r>
          </w:p>
        </w:tc>
        <w:tc>
          <w:tcPr>
            <w:tcW w:type="dxa" w:w="2160"/>
          </w:tcPr>
          <w:p>
            <w:r/>
            <w:r>
              <w:rPr>
                <w:sz w:val="17"/>
              </w:rPr>
              <w:t>Mixed</w:t>
            </w:r>
          </w:p>
        </w:tc>
      </w:tr>
      <w:tr>
        <w:tc>
          <w:tcPr>
            <w:tcW w:type="dxa" w:w="2160"/>
          </w:tcPr>
          <w:p>
            <w:r/>
            <w:r>
              <w:rPr>
                <w:sz w:val="17"/>
              </w:rPr>
              <w:t>Conversion Optimization</w:t>
            </w:r>
          </w:p>
        </w:tc>
        <w:tc>
          <w:tcPr>
            <w:tcW w:type="dxa" w:w="2160"/>
          </w:tcPr>
          <w:p>
            <w:r/>
            <w:r>
              <w:rPr>
                <w:sz w:val="17"/>
              </w:rPr>
              <w:t>Initiatives #8.0, #9.0 live but no measurable lift yet; #10.0 delayed to Aug-26.</w:t>
            </w:r>
          </w:p>
        </w:tc>
        <w:tc>
          <w:tcPr>
            <w:tcW w:type="dxa" w:w="2160"/>
          </w:tcPr>
          <w:p>
            <w:r/>
            <w:r>
              <w:rPr>
                <w:sz w:val="17"/>
              </w:rPr>
              <w:t>0pp realized</w:t>
            </w:r>
          </w:p>
        </w:tc>
        <w:tc>
          <w:tcPr>
            <w:tcW w:type="dxa" w:w="2160"/>
          </w:tcPr>
          <w:p>
            <w:r/>
            <w:r>
              <w:rPr>
                <w:sz w:val="17"/>
              </w:rPr>
              <w:t>Behind</w:t>
            </w:r>
          </w:p>
        </w:tc>
      </w:tr>
    </w:tbl>
    <w:p>
      <w:pPr>
        <w:spacing w:after="60"/>
      </w:pPr>
      <w:r>
        <w:rPr>
          <w:b/>
          <w:color w:val="1F4E79"/>
          <w:sz w:val="22"/>
        </w:rPr>
        <w:t>YTD vs plan and FY outlook</w:t>
      </w:r>
    </w:p>
    <w:p>
      <w:pPr>
        <w:spacing w:after="80"/>
      </w:pPr>
      <w:r>
        <w:rPr>
          <w:b w:val="0"/>
        </w:rPr>
        <w:t>YTD Disbursement is VNDm 277,174 vs Plan VNDm 339,865 (-18% gap). To hit the FY plan of VNDm 1,879,405, the business must recover the approval rate gap in Q3/Q4 via Initiatives #2.0 and #3.0. Current run-rate suggests a significant shortfall unless the delayed structural initiatives accelerate or the approval rate improves organically.</w:t>
      </w:r>
    </w:p>
    <w:p>
      <w:pPr>
        <w:spacing w:after="60"/>
      </w:pPr>
      <w:r>
        <w:rPr>
          <w:b/>
          <w:color w:val="1F4E79"/>
          <w:sz w:val="22"/>
        </w:rPr>
        <w:t>Escalations — high-impact initiatives delayed / deprioritized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fill="1F4E79"/>
          </w:tcPr>
          <w:p>
            <w:r/>
            <w:r>
              <w:rPr>
                <w:b/>
                <w:color w:val="FFFFFF"/>
                <w:sz w:val="17"/>
              </w:rPr>
              <w:t>Initiative</w:t>
            </w:r>
          </w:p>
        </w:tc>
        <w:tc>
          <w:tcPr>
            <w:tcW w:type="dxa" w:w="1440"/>
            <w:shd w:val="clear" w:fill="1F4E79"/>
          </w:tcPr>
          <w:p>
            <w:r/>
            <w:r>
              <w:rPr>
                <w:b/>
                <w:color w:val="FFFFFF"/>
                <w:sz w:val="17"/>
              </w:rPr>
              <w:t>Owner</w:t>
            </w:r>
          </w:p>
        </w:tc>
        <w:tc>
          <w:tcPr>
            <w:tcW w:type="dxa" w:w="1440"/>
            <w:shd w:val="clear" w:fill="1F4E79"/>
          </w:tcPr>
          <w:p>
            <w:r/>
            <w:r>
              <w:rPr>
                <w:b/>
                <w:color w:val="FFFFFF"/>
                <w:sz w:val="17"/>
              </w:rPr>
              <w:t>Status</w:t>
            </w:r>
          </w:p>
        </w:tc>
        <w:tc>
          <w:tcPr>
            <w:tcW w:type="dxa" w:w="1440"/>
            <w:shd w:val="clear" w:fill="1F4E79"/>
          </w:tcPr>
          <w:p>
            <w:r/>
            <w:r>
              <w:rPr>
                <w:b/>
                <w:color w:val="FFFFFF"/>
                <w:sz w:val="17"/>
              </w:rPr>
              <w:t>Impact</w:t>
            </w:r>
          </w:p>
        </w:tc>
        <w:tc>
          <w:tcPr>
            <w:tcW w:type="dxa" w:w="1440"/>
            <w:shd w:val="clear" w:fill="1F4E79"/>
          </w:tcPr>
          <w:p>
            <w:r/>
            <w:r>
              <w:rPr>
                <w:b/>
                <w:color w:val="FFFFFF"/>
                <w:sz w:val="17"/>
              </w:rPr>
              <w:t>New timing</w:t>
            </w:r>
          </w:p>
        </w:tc>
        <w:tc>
          <w:tcPr>
            <w:tcW w:type="dxa" w:w="1440"/>
            <w:shd w:val="clear" w:fill="1F4E79"/>
          </w:tcPr>
          <w:p>
            <w:r/>
            <w:r>
              <w:rPr>
                <w:b/>
                <w:color w:val="FFFFFF"/>
                <w:sz w:val="17"/>
              </w:rPr>
              <w:t>Note</w:t>
            </w:r>
          </w:p>
        </w:tc>
      </w:tr>
      <w:tr>
        <w:tc>
          <w:tcPr>
            <w:tcW w:type="dxa" w:w="1440"/>
          </w:tcPr>
          <w:p>
            <w:r/>
            <w:r>
              <w:rPr>
                <w:sz w:val="17"/>
              </w:rPr>
              <w:t>Add 1 partner with higher risk appetite</w:t>
            </w:r>
          </w:p>
        </w:tc>
        <w:tc>
          <w:tcPr>
            <w:tcW w:type="dxa" w:w="1440"/>
          </w:tcPr>
          <w:p>
            <w:r/>
            <w:r>
              <w:rPr>
                <w:sz w:val="17"/>
              </w:rPr>
              <w:t>Persona 1</w:t>
            </w:r>
          </w:p>
        </w:tc>
        <w:tc>
          <w:tcPr>
            <w:tcW w:type="dxa" w:w="1440"/>
          </w:tcPr>
          <w:p>
            <w:r/>
            <w:r>
              <w:rPr>
                <w:sz w:val="17"/>
              </w:rPr>
              <w:t>Delay</w:t>
            </w:r>
          </w:p>
        </w:tc>
        <w:tc>
          <w:tcPr>
            <w:tcW w:type="dxa" w:w="1440"/>
          </w:tcPr>
          <w:p>
            <w:r/>
            <w:r>
              <w:rPr>
                <w:sz w:val="17"/>
              </w:rPr>
              <w:t>%Eligible/Total User Base +10pp</w:t>
            </w:r>
          </w:p>
        </w:tc>
        <w:tc>
          <w:tcPr>
            <w:tcW w:type="dxa" w:w="1440"/>
          </w:tcPr>
          <w:p>
            <w:r/>
            <w:r>
              <w:rPr>
                <w:sz w:val="17"/>
              </w:rPr>
              <w:t>Oct-26</w:t>
            </w:r>
          </w:p>
        </w:tc>
        <w:tc>
          <w:tcPr>
            <w:tcW w:type="dxa" w:w="1440"/>
          </w:tcPr>
          <w:p>
            <w:r/>
            <w:r>
              <w:rPr>
                <w:sz w:val="17"/>
              </w:rPr>
              <w:t>Partner yêu cầu bắt buộc risk-based pricing API, cần thêm 6-8 tuần dev và UAT, timeline khả thi nhất là tháng 10.</w:t>
            </w:r>
          </w:p>
        </w:tc>
      </w:tr>
      <w:tr>
        <w:tc>
          <w:tcPr>
            <w:tcW w:type="dxa" w:w="1440"/>
          </w:tcPr>
          <w:p>
            <w:r/>
            <w:r>
              <w:rPr>
                <w:sz w:val="17"/>
              </w:rPr>
              <w:t>Discover new traffic channel #2</w:t>
            </w:r>
          </w:p>
        </w:tc>
        <w:tc>
          <w:tcPr>
            <w:tcW w:type="dxa" w:w="1440"/>
          </w:tcPr>
          <w:p>
            <w:r/>
            <w:r>
              <w:rPr>
                <w:sz w:val="17"/>
              </w:rPr>
              <w:t>Persona 3</w:t>
            </w:r>
          </w:p>
        </w:tc>
        <w:tc>
          <w:tcPr>
            <w:tcW w:type="dxa" w:w="1440"/>
          </w:tcPr>
          <w:p>
            <w:r/>
            <w:r>
              <w:rPr>
                <w:sz w:val="17"/>
              </w:rPr>
              <w:t>Deprioritized</w:t>
            </w:r>
          </w:p>
        </w:tc>
        <w:tc>
          <w:tcPr>
            <w:tcW w:type="dxa" w:w="1440"/>
          </w:tcPr>
          <w:p>
            <w:r/>
            <w:r>
              <w:rPr>
                <w:sz w:val="17"/>
              </w:rPr>
              <w:t>%Traffic/Eligible +2pp</w:t>
            </w:r>
          </w:p>
        </w:tc>
        <w:tc>
          <w:tcPr>
            <w:tcW w:type="dxa" w:w="1440"/>
          </w:tcPr>
          <w:p>
            <w:r/>
            <w:r>
              <w:rPr>
                <w:sz w:val="17"/>
              </w:rPr>
              <w:t>Q4-2026</w:t>
            </w:r>
          </w:p>
        </w:tc>
        <w:tc>
          <w:tcPr>
            <w:tcW w:type="dxa" w:w="1440"/>
          </w:tcPr>
          <w:p>
            <w:r/>
            <w:r>
              <w:rPr>
                <w:sz w:val="17"/>
              </w:rPr>
              <w:t>Do team Cashier full load và performance test chưa ổn định, hai bên đồng ý deprioritize và sẽ quay lại trong Q4 khi có resource.</w:t>
            </w:r>
          </w:p>
        </w:tc>
      </w:tr>
      <w:tr>
        <w:tc>
          <w:tcPr>
            <w:tcW w:type="dxa" w:w="1440"/>
          </w:tcPr>
          <w:p>
            <w:r/>
            <w:r>
              <w:rPr>
                <w:sz w:val="17"/>
              </w:rPr>
              <w:t>Personalize offerings per users using big data</w:t>
            </w:r>
          </w:p>
        </w:tc>
        <w:tc>
          <w:tcPr>
            <w:tcW w:type="dxa" w:w="1440"/>
          </w:tcPr>
          <w:p>
            <w:r/>
            <w:r>
              <w:rPr>
                <w:sz w:val="17"/>
              </w:rPr>
              <w:t>Persona 2</w:t>
            </w:r>
          </w:p>
        </w:tc>
        <w:tc>
          <w:tcPr>
            <w:tcW w:type="dxa" w:w="1440"/>
          </w:tcPr>
          <w:p>
            <w:r/>
            <w:r>
              <w:rPr>
                <w:sz w:val="17"/>
              </w:rPr>
              <w:t>Delay</w:t>
            </w:r>
          </w:p>
        </w:tc>
        <w:tc>
          <w:tcPr>
            <w:tcW w:type="dxa" w:w="1440"/>
          </w:tcPr>
          <w:p>
            <w:r/>
            <w:r>
              <w:rPr>
                <w:sz w:val="17"/>
              </w:rPr>
              <w:t>%Submission/Traffic +2pp</w:t>
            </w:r>
          </w:p>
        </w:tc>
        <w:tc>
          <w:tcPr>
            <w:tcW w:type="dxa" w:w="1440"/>
          </w:tcPr>
          <w:p>
            <w:r/>
            <w:r>
              <w:rPr>
                <w:sz w:val="17"/>
              </w:rPr>
              <w:t>Aug-26</w:t>
            </w:r>
          </w:p>
        </w:tc>
        <w:tc>
          <w:tcPr>
            <w:tcW w:type="dxa" w:w="1440"/>
          </w:tcPr>
          <w:p>
            <w:r/>
            <w:r>
              <w:rPr>
                <w:sz w:val="17"/>
              </w:rPr>
              <w:t>Do team DS ưu tiên init optimize model, init này chưa thể scoping ngay, dự kiến kick off cuối tháng 6 và cần 2 tháng để hoàn thiện.</w:t>
            </w:r>
          </w:p>
        </w:tc>
      </w:tr>
      <w:tr>
        <w:tc>
          <w:tcPr>
            <w:tcW w:type="dxa" w:w="1440"/>
          </w:tcPr>
          <w:p>
            <w:r/>
            <w:r>
              <w:rPr>
                <w:sz w:val="17"/>
              </w:rPr>
              <w:t>New redirecting tactics for dropped customers</w:t>
            </w:r>
          </w:p>
        </w:tc>
        <w:tc>
          <w:tcPr>
            <w:tcW w:type="dxa" w:w="1440"/>
          </w:tcPr>
          <w:p>
            <w:r/>
            <w:r>
              <w:rPr>
                <w:sz w:val="17"/>
              </w:rPr>
              <w:t>Persona 3</w:t>
            </w:r>
          </w:p>
        </w:tc>
        <w:tc>
          <w:tcPr>
            <w:tcW w:type="dxa" w:w="1440"/>
          </w:tcPr>
          <w:p>
            <w:r/>
            <w:r>
              <w:rPr>
                <w:sz w:val="17"/>
              </w:rPr>
              <w:t>Deprioritized</w:t>
            </w:r>
          </w:p>
        </w:tc>
        <w:tc>
          <w:tcPr>
            <w:tcW w:type="dxa" w:w="1440"/>
          </w:tcPr>
          <w:p>
            <w:r/>
            <w:r>
              <w:rPr>
                <w:sz w:val="17"/>
              </w:rPr>
              <w:t>%Submission/Traffic +0.5pp</w:t>
            </w:r>
          </w:p>
        </w:tc>
        <w:tc>
          <w:tcPr>
            <w:tcW w:type="dxa" w:w="1440"/>
          </w:tcPr>
          <w:p>
            <w:r/>
            <w:r>
              <w:rPr>
                <w:sz w:val="17"/>
              </w:rPr>
              <w:t>Q4/2026</w:t>
            </w:r>
          </w:p>
        </w:tc>
        <w:tc>
          <w:tcPr>
            <w:tcW w:type="dxa" w:w="1440"/>
          </w:tcPr>
          <w:p>
            <w:r/>
            <w:r>
              <w:rPr>
                <w:sz w:val="17"/>
              </w:rPr>
              <w:t>Low expected impact (+0.5pp); deprioritized vs higher-impact channel work; may revisit Q4.</w:t>
            </w:r>
          </w:p>
        </w:tc>
      </w:tr>
    </w:tbl>
    <w:p>
      <w:pPr>
        <w:spacing w:after="60"/>
      </w:pPr>
      <w:r>
        <w:rPr>
          <w:b/>
          <w:color w:val="1F4E79"/>
          <w:sz w:val="22"/>
        </w:rPr>
        <w:t>Risks, dependencies &amp; escalations</w:t>
      </w:r>
    </w:p>
    <w:p>
      <w:pPr>
        <w:pStyle w:val="ListBullet"/>
      </w:pPr>
      <w:r>
        <w:t>Initiative #2.0 (Persona 1): Delayed to Oct-26 due to mandatory risk-based pricing API requirements; 6-8 weeks dev/UAT needed. Risk: Approval rate remains below plan for 4+ months.</w:t>
      </w:r>
    </w:p>
    <w:p>
      <w:pPr>
        <w:pStyle w:val="ListBullet"/>
      </w:pPr>
      <w:r>
        <w:t>Initiative #10.0 (Persona 2): Delayed to Aug-26 due to DS team prioritization; risk of missing Q3 submission targets.</w:t>
      </w:r>
    </w:p>
    <w:p>
      <w:pPr>
        <w:pStyle w:val="ListBullet"/>
      </w:pPr>
      <w:r>
        <w:t>Initiative #12.0 (Persona 3): Year-end campaign not started; creative and budget unconfirmed. Risk: Q4 traffic targets may be missed.</w:t>
      </w:r>
    </w:p>
    <w:p>
      <w:pPr>
        <w:pStyle w:val="ListBullet"/>
      </w:pPr>
      <w:r>
        <w:t>Initiative #7.0 &amp; #11.0 (Persona 3): Deprioritized due to resource constraints; risk of missing incremental traffic/submission upside in Q4.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