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jc w:val="left"/>
        <w:rPr>
          <w:b/>
          <w:b/>
          <w:bCs/>
        </w:rPr>
      </w:pPr>
      <w:r>
        <w:rPr>
          <w:b/>
          <w:bCs/>
        </w:rPr>
        <w:t>Hierarchical Modelling of Species Communities (HMSC)</w:t>
      </w:r>
    </w:p>
    <w:p>
      <w:pPr>
        <w:pStyle w:val="Cuerpodetexto"/>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840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2284095"/>
                    </a:xfrm>
                    <a:prstGeom prst="rect">
                      <a:avLst/>
                    </a:prstGeom>
                  </pic:spPr>
                </pic:pic>
              </a:graphicData>
            </a:graphic>
          </wp:anchor>
        </w:drawing>
      </w:r>
      <w:r>
        <w:rPr/>
        <w:t xml:space="preserve">This model is one of the Joint Species Distribution Models that have been developed in the last decade. It aims to fit multiple species at once, taking into account phylogenies and species functional traits into account when estimating the effect of environment on the different species (betas). It also allow to account for co-occurrence residuals (omegas) once the effect of the environment has been removed. More information here and references therein: </w:t>
      </w:r>
      <w:hyperlink r:id="rId3">
        <w:r>
          <w:rPr>
            <w:rStyle w:val="EnlacedeInternet"/>
          </w:rPr>
          <w:t>https://www.helsinki.fi/en/researchgroups/statistical-ecology/software/hmsc</w:t>
        </w:r>
      </w:hyperlink>
    </w:p>
    <w:p>
      <w:pPr>
        <w:pStyle w:val="Cuerpodetexto"/>
        <w:bidi w:val="0"/>
        <w:jc w:val="left"/>
        <w:rPr>
          <w:b/>
          <w:b/>
          <w:bCs/>
        </w:rPr>
      </w:pPr>
      <w:r>
        <w:rPr>
          <w:b/>
          <w:bCs/>
        </w:rPr>
        <w:t>Model calibration</w:t>
      </w:r>
    </w:p>
    <w:p>
      <w:pPr>
        <w:pStyle w:val="Cuerpodetexto"/>
        <w:bidi w:val="0"/>
        <w:jc w:val="left"/>
        <w:rPr>
          <w:b w:val="false"/>
          <w:b w:val="false"/>
          <w:bCs w:val="false"/>
        </w:rPr>
      </w:pPr>
      <w:r>
        <w:rPr>
          <w:b w:val="false"/>
          <w:bCs w:val="false"/>
        </w:rPr>
        <w:t xml:space="preserve">I fit the model using climate data from the Chelsa Climate project, and occurrence for the four species, selecting only those from localities in which at least 5 samples were identified, </w:t>
      </w:r>
      <w:r>
        <w:rPr>
          <w:b w:val="false"/>
          <w:bCs w:val="false"/>
        </w:rPr>
        <w:t>(n=350)</w:t>
      </w:r>
      <w:r>
        <w:rPr>
          <w:b w:val="false"/>
          <w:bCs w:val="false"/>
        </w:rPr>
        <w:t xml:space="preserve"> regardless of the method used. Climate variables were analyzed in a PCA an the three first axis were selected to summarize main environmental gradients. </w:t>
      </w:r>
      <w:r>
        <w:rPr>
          <w:b w:val="false"/>
          <w:bCs w:val="false"/>
        </w:rPr>
        <w:t>Selected samples are shown in the following figure.</w:t>
      </w:r>
    </w:p>
    <w:p>
      <w:pPr>
        <w:pStyle w:val="Cuerpodetexto"/>
        <w:bidi w:val="0"/>
        <w:jc w:val="left"/>
        <w:rPr>
          <w:b w:val="false"/>
          <w:b w:val="false"/>
          <w:bCs w:val="false"/>
        </w:rPr>
      </w:pPr>
      <w:r>
        <w:rPr>
          <w:b w:val="false"/>
          <w:bCs w:val="false"/>
        </w:rPr>
      </w: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38345" cy="3768725"/>
                <wp:effectExtent l="0" t="0" r="0" b="0"/>
                <wp:wrapTopAndBottom/>
                <wp:docPr id="2" name="Marco1"/>
                <a:graphic xmlns:a="http://schemas.openxmlformats.org/drawingml/2006/main">
                  <a:graphicData uri="http://schemas.microsoft.com/office/word/2010/wordprocessingShape">
                    <wps:wsp>
                      <wps:cNvSpPr txBox="1"/>
                      <wps:spPr>
                        <a:xfrm>
                          <a:off x="0" y="0"/>
                          <a:ext cx="4538345" cy="3768725"/>
                        </a:xfrm>
                        <a:prstGeom prst="rect"/>
                        <a:solidFill>
                          <a:srgbClr val="FFFFFF"/>
                        </a:solidFill>
                      </wps:spPr>
                      <wps:txbx>
                        <w:txbxContent>
                          <w:p>
                            <w:pPr>
                              <w:pStyle w:val="Figure"/>
                              <w:bidi w:val="0"/>
                              <w:spacing w:before="120" w:after="120"/>
                              <w:jc w:val="left"/>
                              <w:rPr/>
                            </w:pPr>
                            <w:r>
                              <w:rPr/>
                              <w:drawing>
                                <wp:inline distT="0" distB="0" distL="0" distR="0">
                                  <wp:extent cx="4538345" cy="334200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538345" cy="3342005"/>
                                          </a:xfrm>
                                          <a:prstGeom prst="rect">
                                            <a:avLst/>
                                          </a:prstGeom>
                                        </pic:spPr>
                                      </pic:pic>
                                    </a:graphicData>
                                  </a:graphic>
                                </wp:inline>
                              </w:drawing>
                              <w:t xml:space="preserve">Figure </w:t>
                            </w:r>
                            <w:r>
                              <w:rPr/>
                              <w:fldChar w:fldCharType="begin"/>
                            </w:r>
                            <w:r>
                              <w:rPr/>
                              <w:instrText xml:space="preserve"> SEQ Figura \* ARABIC </w:instrText>
                            </w:r>
                            <w:r>
                              <w:rPr/>
                              <w:fldChar w:fldCharType="separate"/>
                            </w:r>
                            <w:r>
                              <w:rPr/>
                              <w:t>1</w:t>
                            </w:r>
                            <w:r>
                              <w:rPr/>
                              <w:fldChar w:fldCharType="end"/>
                            </w:r>
                            <w:r>
                              <w:rPr/>
                              <w:t>: Map of the study area and samples (n = 350), in the background Bio12 (annual precipitation).</w:t>
                            </w:r>
                          </w:p>
                        </w:txbxContent>
                      </wps:txbx>
                      <wps:bodyPr anchor="t" lIns="0" tIns="0" rIns="0" bIns="0">
                        <a:noAutofit/>
                      </wps:bodyPr>
                    </wps:wsp>
                  </a:graphicData>
                </a:graphic>
              </wp:anchor>
            </w:drawing>
          </mc:Choice>
          <mc:Fallback>
            <w:pict>
              <v:rect style="position:absolute;rotation:-0;width:357.35pt;height:296.75pt;mso-wrap-distance-left:0pt;mso-wrap-distance-right:0pt;mso-wrap-distance-top:0pt;mso-wrap-distance-bottom:0pt;margin-top:0pt;mso-position-vertical:top;mso-position-vertical-relative:text;margin-left:62.3pt;mso-position-horizontal:center;mso-position-horizontal-relative:text">
                <v:textbox inset="0in,0in,0in,0in">
                  <w:txbxContent>
                    <w:p>
                      <w:pPr>
                        <w:pStyle w:val="Figure"/>
                        <w:bidi w:val="0"/>
                        <w:spacing w:before="120" w:after="120"/>
                        <w:jc w:val="left"/>
                        <w:rPr/>
                      </w:pPr>
                      <w:r>
                        <w:rPr/>
                        <w:drawing>
                          <wp:inline distT="0" distB="0" distL="0" distR="0">
                            <wp:extent cx="4538345" cy="3342005"/>
                            <wp:effectExtent l="0" t="0" r="0" b="0"/>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4538345" cy="3342005"/>
                                    </a:xfrm>
                                    <a:prstGeom prst="rect">
                                      <a:avLst/>
                                    </a:prstGeom>
                                  </pic:spPr>
                                </pic:pic>
                              </a:graphicData>
                            </a:graphic>
                          </wp:inline>
                        </w:drawing>
                        <w:t xml:space="preserve">Figure </w:t>
                      </w:r>
                      <w:r>
                        <w:rPr/>
                        <w:fldChar w:fldCharType="begin"/>
                      </w:r>
                      <w:r>
                        <w:rPr/>
                        <w:instrText xml:space="preserve"> SEQ Figura \* ARABIC </w:instrText>
                      </w:r>
                      <w:r>
                        <w:rPr/>
                        <w:fldChar w:fldCharType="separate"/>
                      </w:r>
                      <w:r>
                        <w:rPr/>
                        <w:t>1</w:t>
                      </w:r>
                      <w:r>
                        <w:rPr/>
                        <w:fldChar w:fldCharType="end"/>
                      </w:r>
                      <w:r>
                        <w:rPr/>
                        <w:t>: Map of the study area and samples (n = 350), in the background Bio12 (annual precipitation).</w:t>
                      </w:r>
                    </w:p>
                  </w:txbxContent>
                </v:textbox>
                <w10:wrap type="topAndBottom"/>
              </v:rect>
            </w:pict>
          </mc:Fallback>
        </mc:AlternateContent>
      </w:r>
    </w:p>
    <w:p>
      <w:pPr>
        <w:pStyle w:val="Cuerpodetexto"/>
        <w:bidi w:val="0"/>
        <w:jc w:val="left"/>
        <w:rPr>
          <w:b w:val="false"/>
          <w:b w:val="false"/>
          <w:bCs w:val="false"/>
        </w:rPr>
      </w:pPr>
      <w:r>
        <w:drawing>
          <wp:anchor behindDoc="0" distT="0" distB="0" distL="0" distR="0" simplePos="0" locked="0" layoutInCell="0" allowOverlap="1" relativeHeight="5">
            <wp:simplePos x="0" y="0"/>
            <wp:positionH relativeFrom="column">
              <wp:posOffset>0</wp:posOffset>
            </wp:positionH>
            <wp:positionV relativeFrom="paragraph">
              <wp:posOffset>120015</wp:posOffset>
            </wp:positionV>
            <wp:extent cx="6120130" cy="2622550"/>
            <wp:effectExtent l="0" t="0" r="0" b="0"/>
            <wp:wrapSquare wrapText="largest"/>
            <wp:docPr id="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1" descr=""/>
                    <pic:cNvPicPr>
                      <a:picLocks noChangeAspect="1" noChangeArrowheads="1"/>
                    </pic:cNvPicPr>
                  </pic:nvPicPr>
                  <pic:blipFill>
                    <a:blip r:embed="rId6"/>
                    <a:stretch>
                      <a:fillRect/>
                    </a:stretch>
                  </pic:blipFill>
                  <pic:spPr bwMode="auto">
                    <a:xfrm>
                      <a:off x="0" y="0"/>
                      <a:ext cx="6120130" cy="2622550"/>
                    </a:xfrm>
                    <a:prstGeom prst="rect">
                      <a:avLst/>
                    </a:prstGeom>
                  </pic:spPr>
                </pic:pic>
              </a:graphicData>
            </a:graphic>
          </wp:anchor>
        </w:drawing>
      </w:r>
      <w:r>
        <w:rPr>
          <w:b w:val="false"/>
          <w:bCs w:val="false"/>
        </w:rPr>
        <w:t>The three first axis of the pca explain more than 80% of the variance in all climatic variables. In the next plot I highlight the role of GDD 5 (Growing degree days over 5 degrees), Bio4 (temperature seasonality as a measure of continentality) and Bio12 (annual precipitations).</w:t>
      </w:r>
    </w:p>
    <w:p>
      <w:pPr>
        <w:pStyle w:val="Cuerpodetexto"/>
        <w:bidi w:val="0"/>
        <w:jc w:val="left"/>
        <w:rPr>
          <w:b w:val="false"/>
          <w:b w:val="false"/>
          <w:bCs w:val="false"/>
        </w:rPr>
      </w:pPr>
      <w:r>
        <w:rPr>
          <w:b w:val="false"/>
          <w:bCs w:val="false"/>
        </w:rPr>
        <w:t xml:space="preserve">The model was fit with a structure in which the occurrence of the four species depends on the 3 main environmental gradients, two habitat variables (Cover and Hydrology), and two random effects: Sample identity itself and the Locality in which multiple samples were colleted. I didn’t use localities as our sites in which species co-occurrence were analysed, because it would make us lost the information about the particular habitat in which each sample was collected. </w:t>
      </w:r>
      <w:r>
        <w:rPr>
          <w:b w:val="false"/>
          <w:bCs w:val="false"/>
        </w:rPr>
        <w:t>Initially, each species was assumed to have a unimodal (quadratic) response to the 3 main environmental gradients. However, no species had significant coefficients for the quadratic terms of the climate variables. Hence, we rebuilt models considering only monotonic (binomial-linear) responses.</w:t>
      </w:r>
    </w:p>
    <w:p>
      <w:pPr>
        <w:pStyle w:val="Cuerpodetexto"/>
        <w:bidi w:val="0"/>
        <w:jc w:val="left"/>
        <w:rPr/>
      </w:pPr>
      <w:r>
        <w:rPr>
          <w:b w:val="false"/>
          <w:bCs w:val="false"/>
        </w:rPr>
        <w:t xml:space="preserve">Model was calibrated using </w:t>
      </w:r>
      <w:r>
        <w:rPr>
          <w:b w:val="false"/>
          <w:bCs w:val="false"/>
        </w:rPr>
        <w:t xml:space="preserve">2 MonteCarlo Markov Chains.  Each chain was calculated with </w:t>
      </w:r>
      <w:r>
        <w:rPr>
          <w:b w:val="false"/>
          <w:bCs w:val="false"/>
        </w:rPr>
        <w:t xml:space="preserve">10.000 burning </w:t>
      </w:r>
      <w:r>
        <w:rPr>
          <w:b w:val="false"/>
          <w:bCs w:val="false"/>
        </w:rPr>
        <w:t>samples</w:t>
      </w:r>
      <w:r>
        <w:rPr>
          <w:b w:val="false"/>
          <w:bCs w:val="false"/>
        </w:rPr>
        <w:t xml:space="preserve">, and 100.000 </w:t>
      </w:r>
      <w:r>
        <w:rPr>
          <w:b w:val="false"/>
          <w:bCs w:val="false"/>
        </w:rPr>
        <w:t>posterior samples. To avoid autocorrelation in the posterior samples, I thined the chains using a factor of 100 (selecting 1 sample every 100 samples), resulting in a total of 1.000 posterior samples. Because I fitted 2 independent chains, the total posterior distributions are drawn from a total of 2.000 samples.</w:t>
      </w:r>
    </w:p>
    <w:p>
      <w:pPr>
        <w:pStyle w:val="Cuerpodetexto"/>
        <w:bidi w:val="0"/>
        <w:jc w:val="left"/>
        <w:rPr>
          <w:b/>
          <w:b/>
          <w:bCs/>
        </w:rPr>
      </w:pPr>
      <w:r>
        <w:rPr>
          <w:b/>
          <w:bCs/>
        </w:rPr>
        <w:t>Model evaluation</w:t>
      </w:r>
    </w:p>
    <w:p>
      <w:pPr>
        <w:pStyle w:val="Textopreformateado"/>
        <w:bidi w:val="0"/>
        <w:jc w:val="left"/>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r>
    </w:p>
    <w:tbl>
      <w:tblPr>
        <w:tblW w:w="8842" w:type="dxa"/>
        <w:jc w:val="left"/>
        <w:tblInd w:w="0" w:type="dxa"/>
        <w:tblLayout w:type="fixed"/>
        <w:tblCellMar>
          <w:top w:w="55" w:type="dxa"/>
          <w:left w:w="55" w:type="dxa"/>
          <w:bottom w:w="55" w:type="dxa"/>
          <w:right w:w="55" w:type="dxa"/>
        </w:tblCellMar>
      </w:tblPr>
      <w:tblGrid>
        <w:gridCol w:w="1705"/>
        <w:gridCol w:w="1011"/>
        <w:gridCol w:w="1089"/>
        <w:gridCol w:w="1074"/>
        <w:gridCol w:w="1295"/>
        <w:gridCol w:w="1373"/>
        <w:gridCol w:w="1295"/>
      </w:tblGrid>
      <w:tr>
        <w:trPr/>
        <w:tc>
          <w:tcPr>
            <w:tcW w:w="1705" w:type="dxa"/>
            <w:vMerge w:val="restart"/>
            <w:tcBorders>
              <w:top w:val="single" w:sz="2" w:space="0" w:color="000000"/>
              <w:left w:val="single" w:sz="2" w:space="0" w:color="000000"/>
              <w:bottom w:val="single" w:sz="2" w:space="0" w:color="000000"/>
            </w:tcBorders>
          </w:tcPr>
          <w:p>
            <w:pPr>
              <w:pStyle w:val="Contenidodelatabla"/>
              <w:bidi w:val="0"/>
              <w:jc w:val="left"/>
              <w:rPr/>
            </w:pPr>
            <w:r>
              <w:rPr/>
              <w:t>Species</w:t>
            </w:r>
          </w:p>
        </w:tc>
        <w:tc>
          <w:tcPr>
            <w:tcW w:w="3174" w:type="dxa"/>
            <w:gridSpan w:val="3"/>
            <w:tcBorders>
              <w:top w:val="single" w:sz="2" w:space="0" w:color="000000"/>
              <w:left w:val="single" w:sz="2" w:space="0" w:color="000000"/>
              <w:bottom w:val="single" w:sz="2" w:space="0" w:color="000000"/>
            </w:tcBorders>
          </w:tcPr>
          <w:p>
            <w:pPr>
              <w:pStyle w:val="Contenidodelatabla"/>
              <w:bidi w:val="0"/>
              <w:jc w:val="left"/>
              <w:rPr/>
            </w:pPr>
            <w:r>
              <w:rPr/>
              <w:t xml:space="preserve">Training </w:t>
            </w:r>
            <w:r>
              <w:rPr/>
              <w:t>data</w:t>
            </w:r>
          </w:p>
        </w:tc>
        <w:tc>
          <w:tcPr>
            <w:tcW w:w="3963" w:type="dxa"/>
            <w:gridSpan w:val="3"/>
            <w:tcBorders>
              <w:top w:val="single" w:sz="2" w:space="0" w:color="000000"/>
              <w:left w:val="single" w:sz="2" w:space="0" w:color="000000"/>
              <w:bottom w:val="single" w:sz="2" w:space="0" w:color="000000"/>
              <w:right w:val="single" w:sz="2" w:space="0" w:color="000000"/>
            </w:tcBorders>
          </w:tcPr>
          <w:p>
            <w:pPr>
              <w:pStyle w:val="Contenidodelatabla"/>
              <w:bidi w:val="0"/>
              <w:jc w:val="left"/>
              <w:rPr/>
            </w:pPr>
            <w:r>
              <w:rPr/>
              <w:t xml:space="preserve">Testing </w:t>
            </w:r>
            <w:r>
              <w:rPr/>
              <w:t>data – 4 fold CV</w:t>
            </w:r>
          </w:p>
        </w:tc>
      </w:tr>
      <w:tr>
        <w:trPr/>
        <w:tc>
          <w:tcPr>
            <w:tcW w:w="1705" w:type="dxa"/>
            <w:vMerge w:val="continue"/>
            <w:tcBorders>
              <w:top w:val="single" w:sz="2" w:space="0" w:color="000000"/>
              <w:left w:val="single" w:sz="2" w:space="0" w:color="000000"/>
              <w:bottom w:val="single" w:sz="2" w:space="0" w:color="000000"/>
            </w:tcBorders>
          </w:tcPr>
          <w:p>
            <w:pPr>
              <w:pStyle w:val="Normal"/>
              <w:bidi w:val="0"/>
              <w:jc w:val="left"/>
              <w:rPr/>
            </w:pPr>
            <w:r>
              <w:rPr/>
            </w:r>
          </w:p>
        </w:tc>
        <w:tc>
          <w:tcPr>
            <w:tcW w:w="1011" w:type="dxa"/>
            <w:tcBorders>
              <w:left w:val="single" w:sz="2" w:space="0" w:color="000000"/>
              <w:bottom w:val="single" w:sz="2" w:space="0" w:color="000000"/>
            </w:tcBorders>
          </w:tcPr>
          <w:p>
            <w:pPr>
              <w:pStyle w:val="Contenidodelatabla"/>
              <w:bidi w:val="0"/>
              <w:jc w:val="left"/>
              <w:rPr/>
            </w:pPr>
            <w:r>
              <w:rPr/>
              <w:t>RMSE</w:t>
            </w:r>
          </w:p>
        </w:tc>
        <w:tc>
          <w:tcPr>
            <w:tcW w:w="1089" w:type="dxa"/>
            <w:tcBorders>
              <w:left w:val="single" w:sz="2" w:space="0" w:color="000000"/>
              <w:bottom w:val="single" w:sz="2" w:space="0" w:color="000000"/>
            </w:tcBorders>
          </w:tcPr>
          <w:p>
            <w:pPr>
              <w:pStyle w:val="Contenidodelatabla"/>
              <w:bidi w:val="0"/>
              <w:jc w:val="left"/>
              <w:rPr/>
            </w:pPr>
            <w:r>
              <w:rPr/>
              <w:t>AUC</w:t>
            </w:r>
          </w:p>
        </w:tc>
        <w:tc>
          <w:tcPr>
            <w:tcW w:w="1074" w:type="dxa"/>
            <w:tcBorders>
              <w:left w:val="single" w:sz="2" w:space="0" w:color="000000"/>
              <w:bottom w:val="single" w:sz="2" w:space="0" w:color="000000"/>
            </w:tcBorders>
          </w:tcPr>
          <w:p>
            <w:pPr>
              <w:pStyle w:val="Contenidodelatabla"/>
              <w:bidi w:val="0"/>
              <w:jc w:val="left"/>
              <w:rPr/>
            </w:pPr>
            <w:r>
              <w:rPr/>
              <w:t>TjurR2</w:t>
            </w:r>
          </w:p>
        </w:tc>
        <w:tc>
          <w:tcPr>
            <w:tcW w:w="1295" w:type="dxa"/>
            <w:tcBorders>
              <w:left w:val="single" w:sz="2" w:space="0" w:color="000000"/>
              <w:bottom w:val="single" w:sz="2" w:space="0" w:color="000000"/>
            </w:tcBorders>
          </w:tcPr>
          <w:p>
            <w:pPr>
              <w:pStyle w:val="Contenidodelatabla"/>
              <w:bidi w:val="0"/>
              <w:jc w:val="left"/>
              <w:rPr/>
            </w:pPr>
            <w:r>
              <w:rPr/>
              <w:t>RMSE</w:t>
            </w:r>
          </w:p>
        </w:tc>
        <w:tc>
          <w:tcPr>
            <w:tcW w:w="1373" w:type="dxa"/>
            <w:tcBorders>
              <w:left w:val="single" w:sz="2" w:space="0" w:color="000000"/>
              <w:bottom w:val="single" w:sz="2" w:space="0" w:color="000000"/>
            </w:tcBorders>
          </w:tcPr>
          <w:p>
            <w:pPr>
              <w:pStyle w:val="Contenidodelatabla"/>
              <w:bidi w:val="0"/>
              <w:jc w:val="left"/>
              <w:rPr/>
            </w:pPr>
            <w:r>
              <w:rPr/>
              <w:t>AUC</w:t>
            </w:r>
          </w:p>
        </w:tc>
        <w:tc>
          <w:tcPr>
            <w:tcW w:w="1295" w:type="dxa"/>
            <w:tcBorders>
              <w:left w:val="single" w:sz="2" w:space="0" w:color="000000"/>
              <w:bottom w:val="single" w:sz="2" w:space="0" w:color="000000"/>
              <w:right w:val="single" w:sz="2" w:space="0" w:color="000000"/>
            </w:tcBorders>
          </w:tcPr>
          <w:p>
            <w:pPr>
              <w:pStyle w:val="Contenidodelatabla"/>
              <w:bidi w:val="0"/>
              <w:jc w:val="left"/>
              <w:rPr/>
            </w:pPr>
            <w:r>
              <w:rPr/>
              <w:t>TjurR2</w:t>
            </w:r>
          </w:p>
        </w:tc>
      </w:tr>
      <w:tr>
        <w:trPr/>
        <w:tc>
          <w:tcPr>
            <w:tcW w:w="1705" w:type="dxa"/>
            <w:tcBorders>
              <w:left w:val="single" w:sz="2" w:space="0" w:color="000000"/>
              <w:bottom w:val="single" w:sz="2" w:space="0" w:color="000000"/>
            </w:tcBorders>
          </w:tcPr>
          <w:p>
            <w:pPr>
              <w:pStyle w:val="Contenidodelatabla"/>
              <w:bidi w:val="0"/>
              <w:jc w:val="left"/>
              <w:rPr/>
            </w:pPr>
            <w:r>
              <w:rPr/>
              <w:t>Sph. diabolicum</w:t>
            </w:r>
          </w:p>
        </w:tc>
        <w:tc>
          <w:tcPr>
            <w:tcW w:w="1011" w:type="dxa"/>
            <w:tcBorders>
              <w:left w:val="single" w:sz="2" w:space="0" w:color="000000"/>
              <w:bottom w:val="single" w:sz="2" w:space="0" w:color="000000"/>
            </w:tcBorders>
          </w:tcPr>
          <w:p>
            <w:pPr>
              <w:pStyle w:val="Contenidodelatabla"/>
              <w:bidi w:val="0"/>
              <w:jc w:val="left"/>
              <w:rPr/>
            </w:pPr>
            <w:r>
              <w:rPr/>
              <w:t>0.</w:t>
            </w:r>
            <w:r>
              <w:rPr/>
              <w:t>080</w:t>
            </w:r>
          </w:p>
        </w:tc>
        <w:tc>
          <w:tcPr>
            <w:tcW w:w="1089" w:type="dxa"/>
            <w:tcBorders>
              <w:left w:val="single" w:sz="2" w:space="0" w:color="000000"/>
              <w:bottom w:val="single" w:sz="2" w:space="0" w:color="000000"/>
            </w:tcBorders>
          </w:tcPr>
          <w:p>
            <w:pPr>
              <w:pStyle w:val="Contenidodelatabla"/>
              <w:bidi w:val="0"/>
              <w:jc w:val="left"/>
              <w:rPr/>
            </w:pPr>
            <w:r>
              <w:rPr/>
              <w:t>1.</w:t>
            </w:r>
            <w:r>
              <w:rPr/>
              <w:t>000</w:t>
            </w:r>
          </w:p>
        </w:tc>
        <w:tc>
          <w:tcPr>
            <w:tcW w:w="1074" w:type="dxa"/>
            <w:tcBorders>
              <w:left w:val="single" w:sz="2" w:space="0" w:color="000000"/>
              <w:bottom w:val="single" w:sz="2" w:space="0" w:color="000000"/>
            </w:tcBorders>
          </w:tcPr>
          <w:p>
            <w:pPr>
              <w:pStyle w:val="Contenidodelatabla"/>
              <w:bidi w:val="0"/>
              <w:jc w:val="left"/>
              <w:rPr/>
            </w:pPr>
            <w:r>
              <w:rPr/>
              <w:t>0.8</w:t>
            </w:r>
            <w:r>
              <w:rPr/>
              <w:t>98</w:t>
            </w:r>
          </w:p>
        </w:tc>
        <w:tc>
          <w:tcPr>
            <w:tcW w:w="1295" w:type="dxa"/>
            <w:tcBorders>
              <w:left w:val="single" w:sz="2" w:space="0" w:color="000000"/>
              <w:bottom w:val="single" w:sz="2" w:space="0" w:color="000000"/>
            </w:tcBorders>
          </w:tcPr>
          <w:p>
            <w:pPr>
              <w:pStyle w:val="Contenidodelatabla"/>
              <w:bidi w:val="0"/>
              <w:jc w:val="left"/>
              <w:rPr/>
            </w:pPr>
            <w:r>
              <w:rPr/>
              <w:t>0.32</w:t>
            </w:r>
            <w:r>
              <w:rPr/>
              <w:t>3</w:t>
            </w:r>
          </w:p>
        </w:tc>
        <w:tc>
          <w:tcPr>
            <w:tcW w:w="1373" w:type="dxa"/>
            <w:tcBorders>
              <w:left w:val="single" w:sz="2" w:space="0" w:color="000000"/>
              <w:bottom w:val="single" w:sz="2" w:space="0" w:color="000000"/>
            </w:tcBorders>
          </w:tcPr>
          <w:p>
            <w:pPr>
              <w:pStyle w:val="Contenidodelatabla"/>
              <w:bidi w:val="0"/>
              <w:jc w:val="left"/>
              <w:rPr/>
            </w:pPr>
            <w:r>
              <w:rPr/>
              <w:t>0.9</w:t>
            </w:r>
            <w:r>
              <w:rPr/>
              <w:t>24</w:t>
            </w:r>
          </w:p>
        </w:tc>
        <w:tc>
          <w:tcPr>
            <w:tcW w:w="1295" w:type="dxa"/>
            <w:tcBorders>
              <w:left w:val="single" w:sz="2" w:space="0" w:color="000000"/>
              <w:bottom w:val="single" w:sz="2" w:space="0" w:color="000000"/>
              <w:right w:val="single" w:sz="2" w:space="0" w:color="000000"/>
            </w:tcBorders>
          </w:tcPr>
          <w:p>
            <w:pPr>
              <w:pStyle w:val="Contenidodelatabla"/>
              <w:bidi w:val="0"/>
              <w:jc w:val="left"/>
              <w:rPr/>
            </w:pPr>
            <w:r>
              <w:rPr/>
              <w:t>0.5</w:t>
            </w:r>
            <w:r>
              <w:rPr/>
              <w:t>75</w:t>
            </w:r>
          </w:p>
        </w:tc>
      </w:tr>
      <w:tr>
        <w:trPr/>
        <w:tc>
          <w:tcPr>
            <w:tcW w:w="1705" w:type="dxa"/>
            <w:tcBorders>
              <w:left w:val="single" w:sz="2" w:space="0" w:color="000000"/>
              <w:bottom w:val="single" w:sz="2" w:space="0" w:color="000000"/>
            </w:tcBorders>
          </w:tcPr>
          <w:p>
            <w:pPr>
              <w:pStyle w:val="Contenidodelatabla"/>
              <w:bidi w:val="0"/>
              <w:jc w:val="left"/>
              <w:rPr/>
            </w:pPr>
            <w:r>
              <w:rPr/>
              <w:t>Sph. divinum</w:t>
            </w:r>
          </w:p>
        </w:tc>
        <w:tc>
          <w:tcPr>
            <w:tcW w:w="1011" w:type="dxa"/>
            <w:tcBorders>
              <w:left w:val="single" w:sz="2" w:space="0" w:color="000000"/>
              <w:bottom w:val="single" w:sz="2" w:space="0" w:color="000000"/>
            </w:tcBorders>
          </w:tcPr>
          <w:p>
            <w:pPr>
              <w:pStyle w:val="Contenidodelatabla"/>
              <w:bidi w:val="0"/>
              <w:jc w:val="left"/>
              <w:rPr/>
            </w:pPr>
            <w:r>
              <w:rPr/>
              <w:t>0.1</w:t>
            </w:r>
            <w:r>
              <w:rPr/>
              <w:t>93</w:t>
            </w:r>
          </w:p>
        </w:tc>
        <w:tc>
          <w:tcPr>
            <w:tcW w:w="1089" w:type="dxa"/>
            <w:tcBorders>
              <w:left w:val="single" w:sz="2" w:space="0" w:color="000000"/>
              <w:bottom w:val="single" w:sz="2" w:space="0" w:color="000000"/>
            </w:tcBorders>
          </w:tcPr>
          <w:p>
            <w:pPr>
              <w:pStyle w:val="Contenidodelatabla"/>
              <w:bidi w:val="0"/>
              <w:jc w:val="left"/>
              <w:rPr/>
            </w:pPr>
            <w:r>
              <w:rPr/>
              <w:t>0.99</w:t>
            </w:r>
            <w:r>
              <w:rPr/>
              <w:t>3</w:t>
            </w:r>
          </w:p>
        </w:tc>
        <w:tc>
          <w:tcPr>
            <w:tcW w:w="1074" w:type="dxa"/>
            <w:tcBorders>
              <w:left w:val="single" w:sz="2" w:space="0" w:color="000000"/>
              <w:bottom w:val="single" w:sz="2" w:space="0" w:color="000000"/>
            </w:tcBorders>
          </w:tcPr>
          <w:p>
            <w:pPr>
              <w:pStyle w:val="Contenidodelatabla"/>
              <w:bidi w:val="0"/>
              <w:jc w:val="left"/>
              <w:rPr/>
            </w:pPr>
            <w:r>
              <w:rPr/>
              <w:t>0.7</w:t>
            </w:r>
            <w:r>
              <w:rPr/>
              <w:t>49</w:t>
            </w:r>
          </w:p>
        </w:tc>
        <w:tc>
          <w:tcPr>
            <w:tcW w:w="1295" w:type="dxa"/>
            <w:tcBorders>
              <w:left w:val="single" w:sz="2" w:space="0" w:color="000000"/>
              <w:bottom w:val="single" w:sz="2" w:space="0" w:color="000000"/>
            </w:tcBorders>
          </w:tcPr>
          <w:p>
            <w:pPr>
              <w:pStyle w:val="Contenidodelatabla"/>
              <w:bidi w:val="0"/>
              <w:jc w:val="left"/>
              <w:rPr/>
            </w:pPr>
            <w:r>
              <w:rPr/>
              <w:t>0.2</w:t>
            </w:r>
            <w:r>
              <w:rPr/>
              <w:t>78</w:t>
            </w:r>
          </w:p>
        </w:tc>
        <w:tc>
          <w:tcPr>
            <w:tcW w:w="1373" w:type="dxa"/>
            <w:tcBorders>
              <w:left w:val="single" w:sz="2" w:space="0" w:color="000000"/>
              <w:bottom w:val="single" w:sz="2" w:space="0" w:color="000000"/>
            </w:tcBorders>
          </w:tcPr>
          <w:p>
            <w:pPr>
              <w:pStyle w:val="Contenidodelatabla"/>
              <w:bidi w:val="0"/>
              <w:jc w:val="left"/>
              <w:rPr/>
            </w:pPr>
            <w:r>
              <w:rPr/>
              <w:t>0.9</w:t>
            </w:r>
            <w:r>
              <w:rPr/>
              <w:t>40</w:t>
            </w:r>
          </w:p>
        </w:tc>
        <w:tc>
          <w:tcPr>
            <w:tcW w:w="1295" w:type="dxa"/>
            <w:tcBorders>
              <w:left w:val="single" w:sz="2" w:space="0" w:color="000000"/>
              <w:bottom w:val="single" w:sz="2" w:space="0" w:color="000000"/>
              <w:right w:val="single" w:sz="2" w:space="0" w:color="000000"/>
            </w:tcBorders>
          </w:tcPr>
          <w:p>
            <w:pPr>
              <w:pStyle w:val="Contenidodelatabla"/>
              <w:bidi w:val="0"/>
              <w:jc w:val="left"/>
              <w:rPr/>
            </w:pPr>
            <w:r>
              <w:rPr/>
              <w:t>0.6</w:t>
            </w:r>
            <w:r>
              <w:rPr/>
              <w:t>13</w:t>
            </w:r>
          </w:p>
        </w:tc>
      </w:tr>
      <w:tr>
        <w:trPr/>
        <w:tc>
          <w:tcPr>
            <w:tcW w:w="1705" w:type="dxa"/>
            <w:tcBorders>
              <w:left w:val="single" w:sz="2" w:space="0" w:color="000000"/>
              <w:bottom w:val="single" w:sz="2" w:space="0" w:color="000000"/>
            </w:tcBorders>
          </w:tcPr>
          <w:p>
            <w:pPr>
              <w:pStyle w:val="Contenidodelatabla"/>
              <w:bidi w:val="0"/>
              <w:jc w:val="left"/>
              <w:rPr/>
            </w:pPr>
            <w:r>
              <w:rPr/>
              <w:t>Sph. magniae</w:t>
            </w:r>
          </w:p>
        </w:tc>
        <w:tc>
          <w:tcPr>
            <w:tcW w:w="1011" w:type="dxa"/>
            <w:tcBorders>
              <w:left w:val="single" w:sz="2" w:space="0" w:color="000000"/>
              <w:bottom w:val="single" w:sz="2" w:space="0" w:color="000000"/>
            </w:tcBorders>
          </w:tcPr>
          <w:p>
            <w:pPr>
              <w:pStyle w:val="Contenidodelatabla"/>
              <w:bidi w:val="0"/>
              <w:jc w:val="left"/>
              <w:rPr/>
            </w:pPr>
            <w:r>
              <w:rPr/>
              <w:t>0.</w:t>
            </w:r>
            <w:r>
              <w:rPr/>
              <w:t>054</w:t>
            </w:r>
          </w:p>
        </w:tc>
        <w:tc>
          <w:tcPr>
            <w:tcW w:w="1089" w:type="dxa"/>
            <w:tcBorders>
              <w:left w:val="single" w:sz="2" w:space="0" w:color="000000"/>
              <w:bottom w:val="single" w:sz="2" w:space="0" w:color="000000"/>
            </w:tcBorders>
          </w:tcPr>
          <w:p>
            <w:pPr>
              <w:pStyle w:val="Contenidodelatabla"/>
              <w:bidi w:val="0"/>
              <w:jc w:val="left"/>
              <w:rPr/>
            </w:pPr>
            <w:r>
              <w:rPr/>
              <w:t>1.000</w:t>
            </w:r>
          </w:p>
        </w:tc>
        <w:tc>
          <w:tcPr>
            <w:tcW w:w="1074" w:type="dxa"/>
            <w:tcBorders>
              <w:left w:val="single" w:sz="2" w:space="0" w:color="000000"/>
              <w:bottom w:val="single" w:sz="2" w:space="0" w:color="000000"/>
            </w:tcBorders>
          </w:tcPr>
          <w:p>
            <w:pPr>
              <w:pStyle w:val="Contenidodelatabla"/>
              <w:bidi w:val="0"/>
              <w:jc w:val="left"/>
              <w:rPr/>
            </w:pPr>
            <w:r>
              <w:rPr/>
              <w:t>0.</w:t>
            </w:r>
            <w:r>
              <w:rPr/>
              <w:t>868</w:t>
            </w:r>
          </w:p>
        </w:tc>
        <w:tc>
          <w:tcPr>
            <w:tcW w:w="1295" w:type="dxa"/>
            <w:tcBorders>
              <w:left w:val="single" w:sz="2" w:space="0" w:color="000000"/>
              <w:bottom w:val="single" w:sz="2" w:space="0" w:color="000000"/>
            </w:tcBorders>
          </w:tcPr>
          <w:p>
            <w:pPr>
              <w:pStyle w:val="Contenidodelatabla"/>
              <w:bidi w:val="0"/>
              <w:jc w:val="left"/>
              <w:rPr/>
            </w:pPr>
            <w:r>
              <w:rPr/>
              <w:t>0.</w:t>
            </w:r>
            <w:r>
              <w:rPr/>
              <w:t>058</w:t>
            </w:r>
          </w:p>
        </w:tc>
        <w:tc>
          <w:tcPr>
            <w:tcW w:w="1373" w:type="dxa"/>
            <w:tcBorders>
              <w:left w:val="single" w:sz="2" w:space="0" w:color="000000"/>
              <w:bottom w:val="single" w:sz="2" w:space="0" w:color="000000"/>
            </w:tcBorders>
          </w:tcPr>
          <w:p>
            <w:pPr>
              <w:pStyle w:val="Contenidodelatabla"/>
              <w:bidi w:val="0"/>
              <w:jc w:val="left"/>
              <w:rPr/>
            </w:pPr>
            <w:r>
              <w:rPr/>
              <w:t>0.9</w:t>
            </w:r>
            <w:r>
              <w:rPr/>
              <w:t>64</w:t>
            </w:r>
          </w:p>
        </w:tc>
        <w:tc>
          <w:tcPr>
            <w:tcW w:w="1295" w:type="dxa"/>
            <w:tcBorders>
              <w:left w:val="single" w:sz="2" w:space="0" w:color="000000"/>
              <w:bottom w:val="single" w:sz="2" w:space="0" w:color="000000"/>
              <w:right w:val="single" w:sz="2" w:space="0" w:color="000000"/>
            </w:tcBorders>
          </w:tcPr>
          <w:p>
            <w:pPr>
              <w:pStyle w:val="Contenidodelatabla"/>
              <w:bidi w:val="0"/>
              <w:jc w:val="left"/>
              <w:rPr/>
            </w:pPr>
            <w:r>
              <w:rPr/>
              <w:t>0.</w:t>
            </w:r>
            <w:r>
              <w:rPr/>
              <w:t>820</w:t>
            </w:r>
          </w:p>
        </w:tc>
      </w:tr>
      <w:tr>
        <w:trPr/>
        <w:tc>
          <w:tcPr>
            <w:tcW w:w="1705" w:type="dxa"/>
            <w:tcBorders>
              <w:left w:val="single" w:sz="2" w:space="0" w:color="000000"/>
              <w:bottom w:val="single" w:sz="2" w:space="0" w:color="000000"/>
            </w:tcBorders>
          </w:tcPr>
          <w:p>
            <w:pPr>
              <w:pStyle w:val="Contenidodelatabla"/>
              <w:bidi w:val="0"/>
              <w:jc w:val="left"/>
              <w:rPr/>
            </w:pPr>
            <w:r>
              <w:rPr/>
              <w:t>Sph. medium</w:t>
            </w:r>
          </w:p>
        </w:tc>
        <w:tc>
          <w:tcPr>
            <w:tcW w:w="1011" w:type="dxa"/>
            <w:tcBorders>
              <w:left w:val="single" w:sz="2" w:space="0" w:color="000000"/>
              <w:bottom w:val="single" w:sz="2" w:space="0" w:color="000000"/>
            </w:tcBorders>
          </w:tcPr>
          <w:p>
            <w:pPr>
              <w:pStyle w:val="Contenidodelatabla"/>
              <w:bidi w:val="0"/>
              <w:jc w:val="left"/>
              <w:rPr/>
            </w:pPr>
            <w:r>
              <w:rPr/>
              <w:t>0.1</w:t>
            </w:r>
            <w:r>
              <w:rPr/>
              <w:t>70</w:t>
            </w:r>
          </w:p>
        </w:tc>
        <w:tc>
          <w:tcPr>
            <w:tcW w:w="1089" w:type="dxa"/>
            <w:tcBorders>
              <w:left w:val="single" w:sz="2" w:space="0" w:color="000000"/>
              <w:bottom w:val="single" w:sz="2" w:space="0" w:color="000000"/>
            </w:tcBorders>
          </w:tcPr>
          <w:p>
            <w:pPr>
              <w:pStyle w:val="Contenidodelatabla"/>
              <w:bidi w:val="0"/>
              <w:jc w:val="left"/>
              <w:rPr/>
            </w:pPr>
            <w:r>
              <w:rPr/>
              <w:t>0.99</w:t>
            </w:r>
            <w:r>
              <w:rPr/>
              <w:t>5</w:t>
            </w:r>
          </w:p>
        </w:tc>
        <w:tc>
          <w:tcPr>
            <w:tcW w:w="1074" w:type="dxa"/>
            <w:tcBorders>
              <w:left w:val="single" w:sz="2" w:space="0" w:color="000000"/>
              <w:bottom w:val="single" w:sz="2" w:space="0" w:color="000000"/>
            </w:tcBorders>
          </w:tcPr>
          <w:p>
            <w:pPr>
              <w:pStyle w:val="Contenidodelatabla"/>
              <w:bidi w:val="0"/>
              <w:jc w:val="left"/>
              <w:rPr/>
            </w:pPr>
            <w:r>
              <w:rPr/>
              <w:t>0.6</w:t>
            </w:r>
            <w:r>
              <w:rPr/>
              <w:t>87</w:t>
            </w:r>
          </w:p>
        </w:tc>
        <w:tc>
          <w:tcPr>
            <w:tcW w:w="1295" w:type="dxa"/>
            <w:tcBorders>
              <w:left w:val="single" w:sz="2" w:space="0" w:color="000000"/>
              <w:bottom w:val="single" w:sz="2" w:space="0" w:color="000000"/>
            </w:tcBorders>
          </w:tcPr>
          <w:p>
            <w:pPr>
              <w:pStyle w:val="Contenidodelatabla"/>
              <w:bidi w:val="0"/>
              <w:jc w:val="left"/>
              <w:rPr/>
            </w:pPr>
            <w:r>
              <w:rPr/>
              <w:t>0.2</w:t>
            </w:r>
            <w:r>
              <w:rPr/>
              <w:t>81</w:t>
            </w:r>
          </w:p>
        </w:tc>
        <w:tc>
          <w:tcPr>
            <w:tcW w:w="1373" w:type="dxa"/>
            <w:tcBorders>
              <w:left w:val="single" w:sz="2" w:space="0" w:color="000000"/>
              <w:bottom w:val="single" w:sz="2" w:space="0" w:color="000000"/>
            </w:tcBorders>
          </w:tcPr>
          <w:p>
            <w:pPr>
              <w:pStyle w:val="Contenidodelatabla"/>
              <w:bidi w:val="0"/>
              <w:jc w:val="left"/>
              <w:rPr/>
            </w:pPr>
            <w:r>
              <w:rPr/>
              <w:t>0.9</w:t>
            </w:r>
            <w:r>
              <w:rPr/>
              <w:t>34</w:t>
            </w:r>
          </w:p>
        </w:tc>
        <w:tc>
          <w:tcPr>
            <w:tcW w:w="1295" w:type="dxa"/>
            <w:tcBorders>
              <w:left w:val="single" w:sz="2" w:space="0" w:color="000000"/>
              <w:bottom w:val="single" w:sz="2" w:space="0" w:color="000000"/>
              <w:right w:val="single" w:sz="2" w:space="0" w:color="000000"/>
            </w:tcBorders>
          </w:tcPr>
          <w:p>
            <w:pPr>
              <w:pStyle w:val="Contenidodelatabla"/>
              <w:bidi w:val="0"/>
              <w:jc w:val="left"/>
              <w:rPr/>
            </w:pPr>
            <w:r>
              <w:rPr/>
              <w:t>0.4</w:t>
            </w:r>
            <w:r>
              <w:rPr/>
              <w:t>33</w:t>
            </w:r>
          </w:p>
        </w:tc>
      </w:tr>
    </w:tbl>
    <w:p>
      <w:pPr>
        <w:pStyle w:val="Normal"/>
        <w:bidi w:val="0"/>
        <w:jc w:val="left"/>
        <w:rPr/>
      </w:pPr>
      <w:r>
        <w:rPr/>
        <w:t>RMSE: Root mean squared error. AUC: Area Under the Roc Curve. TjurR2: adjusted R2 for binomial data. In general, the lower the RMSE the better, whereas the higher the AUC and TjurR2 the better. I would claim that the model adjust pretty well the training data. Hence, the model is able to explain the species occurrence pretty well. It also seems to estimate correctly the testing data (using a cross validation with 4 folds).</w:t>
      </w:r>
    </w:p>
    <w:p>
      <w:pPr>
        <w:pStyle w:val="Normal"/>
        <w:bidi w:val="0"/>
        <w:jc w:val="left"/>
        <w:rPr/>
      </w:pPr>
      <w:r>
        <w:rPr/>
      </w:r>
    </w:p>
    <w:p>
      <w:pPr>
        <w:pStyle w:val="Normal"/>
        <w:bidi w:val="0"/>
        <w:jc w:val="left"/>
        <w:rPr>
          <w:b/>
          <w:b/>
          <w:bCs/>
        </w:rPr>
      </w:pPr>
      <w:r>
        <w:rPr>
          <w:b/>
          <w:bCs/>
        </w:rPr>
        <w:t>Model convergence</w:t>
      </w:r>
    </w:p>
    <w:p>
      <w:pPr>
        <w:pStyle w:val="Normal"/>
        <w:bidi w:val="0"/>
        <w:jc w:val="left"/>
        <w:rPr/>
      </w:pPr>
      <w:r>
        <w:rPr/>
        <w:t xml:space="preserve">Being a bayesian model, its convergence has to be validated. To do so, </w:t>
      </w:r>
      <w:r>
        <w:rPr/>
        <w:t xml:space="preserve">I used the Effective </w:t>
      </w:r>
      <w:r>
        <w:rPr/>
        <w:t>S</w:t>
      </w:r>
      <w:r>
        <w:rPr/>
        <w:t xml:space="preserve">ample </w:t>
      </w:r>
      <w:r>
        <w:rPr/>
        <w:t>Si</w:t>
      </w:r>
      <w:r>
        <w:rPr/>
        <w:t xml:space="preserve">ze </w:t>
      </w:r>
      <w:r>
        <w:rPr/>
        <w:t xml:space="preserve">(ESS) </w:t>
      </w:r>
      <w:r>
        <w:rPr/>
        <w:t xml:space="preserve">and the Gelman diagnostic over the betas parameters estimated by the model (the effect of the environmental variables). </w:t>
      </w:r>
      <w:r>
        <w:rPr/>
        <w:t>Ideally, ESS should be around 2000, the same sample size we have in our bayesian models. Gelman diagnostic should be around 1. Both metrics indicate a fearly well calibration of the beta parameters in the model.</w:t>
      </w:r>
    </w:p>
    <w:p>
      <w:pPr>
        <w:pStyle w:val="Normal"/>
        <w:bidi w:val="0"/>
        <w:jc w:val="left"/>
        <w:rPr/>
      </w:pPr>
      <w:r>
        <w:rP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079875"/>
            <wp:effectExtent l="0" t="0" r="0" b="0"/>
            <wp:wrapSquare wrapText="largest"/>
            <wp:docPr id="6"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3" descr=""/>
                    <pic:cNvPicPr>
                      <a:picLocks noChangeAspect="1" noChangeArrowheads="1"/>
                    </pic:cNvPicPr>
                  </pic:nvPicPr>
                  <pic:blipFill>
                    <a:blip r:embed="rId7"/>
                    <a:stretch>
                      <a:fillRect/>
                    </a:stretch>
                  </pic:blipFill>
                  <pic:spPr bwMode="auto">
                    <a:xfrm>
                      <a:off x="0" y="0"/>
                      <a:ext cx="6120130" cy="4079875"/>
                    </a:xfrm>
                    <a:prstGeom prst="rect">
                      <a:avLst/>
                    </a:prstGeom>
                  </pic:spPr>
                </pic:pic>
              </a:graphicData>
            </a:graphic>
          </wp:anchor>
        </w:drawing>
      </w:r>
      <w:r>
        <w:rPr/>
        <w:t xml:space="preserve">An overview of the chains evolution can be inspected in the supplementary information </w:t>
      </w:r>
      <w:r>
        <w:rPr/>
        <w:t>(attached as an independent pdf file)</w:t>
      </w:r>
      <w:r>
        <w:rPr/>
        <w:t>.</w:t>
      </w:r>
    </w:p>
    <w:p>
      <w:pPr>
        <w:pStyle w:val="Normal"/>
        <w:bidi w:val="0"/>
        <w:jc w:val="left"/>
        <w:rPr>
          <w:b/>
          <w:b/>
          <w:bCs/>
        </w:rPr>
      </w:pPr>
      <w:r>
        <w:rPr>
          <w:b/>
          <w:bCs/>
        </w:rPr>
      </w:r>
    </w:p>
    <w:p>
      <w:pPr>
        <w:pStyle w:val="Normal"/>
        <w:bidi w:val="0"/>
        <w:jc w:val="left"/>
        <w:rPr>
          <w:b/>
          <w:b/>
          <w:bCs/>
        </w:rPr>
      </w:pPr>
      <w:r>
        <w:rPr>
          <w:b/>
          <w:bCs/>
        </w:rPr>
        <w:t>The effect of environmental variables (climate and habitat) on species occurrences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Environmental variables had a contrasting effect among species. </w:t>
      </w:r>
      <w:r>
        <w:rPr>
          <w:b w:val="false"/>
          <w:bCs w:val="false"/>
          <w:i/>
          <w:iCs/>
        </w:rPr>
        <w:t>Sphagnum diabolicum</w:t>
      </w:r>
      <w:r>
        <w:rPr>
          <w:b w:val="false"/>
          <w:bCs w:val="false"/>
        </w:rPr>
        <w:t xml:space="preserve"> didn’t show a significant response to any environmental variable, whether climatic or habitat. </w:t>
      </w:r>
      <w:r>
        <w:rPr>
          <w:b w:val="false"/>
          <w:bCs w:val="false"/>
          <w:i/>
          <w:iCs/>
        </w:rPr>
        <w:t xml:space="preserve">Sphagnum magniae </w:t>
      </w:r>
      <w:r>
        <w:rPr>
          <w:b w:val="false"/>
          <w:bCs w:val="false"/>
          <w:i w:val="false"/>
          <w:iCs w:val="false"/>
        </w:rPr>
        <w:t xml:space="preserve">and </w:t>
      </w:r>
      <w:r>
        <w:rPr>
          <w:b w:val="false"/>
          <w:bCs w:val="false"/>
          <w:i/>
          <w:iCs/>
        </w:rPr>
        <w:t>Sph. divinum</w:t>
      </w:r>
      <w:r>
        <w:rPr>
          <w:b w:val="false"/>
          <w:bCs w:val="false"/>
          <w:i w:val="false"/>
          <w:iCs w:val="false"/>
        </w:rPr>
        <w:t xml:space="preserve"> showed contrasting responses to climatic variables. </w:t>
      </w:r>
      <w:r>
        <w:rPr>
          <w:b w:val="false"/>
          <w:bCs w:val="false"/>
          <w:i/>
          <w:iCs/>
        </w:rPr>
        <w:t>Sph. magniae</w:t>
      </w:r>
      <w:r>
        <w:rPr>
          <w:b w:val="false"/>
          <w:bCs w:val="false"/>
          <w:i w:val="false"/>
          <w:iCs w:val="false"/>
        </w:rPr>
        <w:t xml:space="preserve"> </w:t>
      </w:r>
      <w:r>
        <w:rPr>
          <w:b w:val="false"/>
          <w:bCs w:val="false"/>
        </w:rPr>
        <w:t xml:space="preserve">showed a small but significant </w:t>
      </w:r>
      <w:r>
        <w:rPr>
          <w:b w:val="false"/>
          <w:bCs w:val="false"/>
        </w:rPr>
        <w:t xml:space="preserve">negative </w:t>
      </w:r>
      <w:r>
        <w:rPr>
          <w:b w:val="false"/>
          <w:bCs w:val="false"/>
        </w:rPr>
        <w:t xml:space="preserve">response to </w:t>
      </w:r>
      <w:r>
        <w:rPr>
          <w:b w:val="false"/>
          <w:bCs w:val="false"/>
        </w:rPr>
        <w:t>the first climatic gradient, and positively to the second and third climatic gradients</w:t>
      </w:r>
      <w:r>
        <w:rPr>
          <w:b w:val="false"/>
          <w:bCs w:val="false"/>
        </w:rPr>
        <w:t xml:space="preserve">. </w:t>
      </w:r>
      <w:r>
        <w:rPr>
          <w:b w:val="false"/>
          <w:bCs w:val="false"/>
        </w:rPr>
        <w:t xml:space="preserve">On the other side, </w:t>
      </w:r>
      <w:r>
        <w:rPr>
          <w:b w:val="false"/>
          <w:bCs w:val="false"/>
          <w:i/>
          <w:iCs/>
        </w:rPr>
        <w:t xml:space="preserve">Sph. divinum </w:t>
      </w:r>
      <w:r>
        <w:rPr>
          <w:b w:val="false"/>
          <w:bCs w:val="false"/>
        </w:rPr>
        <w:t xml:space="preserve">responded </w:t>
      </w:r>
      <w:r>
        <w:rPr>
          <w:b w:val="false"/>
          <w:bCs w:val="false"/>
        </w:rPr>
        <w:t>positively to the first climatic grandient and negatively to the second and third climatic gradients. Finally,</w:t>
      </w:r>
      <w:r>
        <w:rPr>
          <w:b w:val="false"/>
          <w:bCs w:val="false"/>
        </w:rPr>
        <w:t xml:space="preserve"> </w:t>
      </w:r>
      <w:r>
        <w:rPr>
          <w:b w:val="false"/>
          <w:bCs w:val="false"/>
          <w:i/>
          <w:iCs/>
        </w:rPr>
        <w:t xml:space="preserve">Sph. medium </w:t>
      </w:r>
      <w:r>
        <w:rPr>
          <w:b w:val="false"/>
          <w:bCs w:val="false"/>
        </w:rPr>
        <w:t xml:space="preserve">responded positively to the third climatic gradient. </w:t>
      </w:r>
      <w:r>
        <w:rPr>
          <w:b w:val="false"/>
          <w:bCs w:val="false"/>
        </w:rPr>
        <w:t>Regarding the response to habitat variables (cover and hydrology)</w:t>
      </w:r>
      <w:r>
        <w:rPr>
          <w:b w:val="false"/>
          <w:bCs w:val="false"/>
        </w:rPr>
        <w:t xml:space="preserve">, </w:t>
      </w:r>
      <w:r>
        <w:rPr>
          <w:b w:val="false"/>
          <w:bCs w:val="false"/>
          <w:i/>
          <w:iCs/>
        </w:rPr>
        <w:t xml:space="preserve">Sph. medium </w:t>
      </w:r>
      <w:r>
        <w:rPr>
          <w:b w:val="false"/>
          <w:bCs w:val="false"/>
        </w:rPr>
        <w:t xml:space="preserve">had a positive response towards open and sunny habitats, and </w:t>
      </w:r>
      <w:r>
        <w:rPr>
          <w:b w:val="false"/>
          <w:bCs w:val="false"/>
          <w:i/>
          <w:iCs/>
        </w:rPr>
        <w:t>Sph. divinum</w:t>
      </w:r>
      <w:r>
        <w:rPr>
          <w:b w:val="false"/>
          <w:bCs w:val="false"/>
        </w:rPr>
        <w:t xml:space="preserve"> respond positively to close and shady habitats. Furthermore, </w:t>
      </w:r>
      <w:r>
        <w:rPr>
          <w:b w:val="false"/>
          <w:bCs w:val="false"/>
          <w:i/>
          <w:iCs/>
        </w:rPr>
        <w:t xml:space="preserve">Sph. divinum </w:t>
      </w:r>
      <w:r>
        <w:rPr>
          <w:b w:val="false"/>
          <w:bCs w:val="false"/>
          <w:i w:val="false"/>
          <w:iCs w:val="false"/>
        </w:rPr>
        <w:t>responded negatively to Hollow habitats.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When analysing the variance explained by each variable, there were again contrasting results among species. Whereas, </w:t>
      </w:r>
      <w:r>
        <w:rPr>
          <w:b w:val="false"/>
          <w:bCs w:val="false"/>
          <w:i/>
          <w:iCs/>
        </w:rPr>
        <w:t>Sph. magniae</w:t>
      </w:r>
      <w:r>
        <w:rPr>
          <w:b w:val="false"/>
          <w:bCs w:val="false"/>
        </w:rPr>
        <w:t xml:space="preserve"> is explained in a great proportion by climate variables </w:t>
      </w:r>
      <w:r>
        <w:rPr>
          <w:b w:val="false"/>
          <w:bCs w:val="false"/>
        </w:rPr>
        <w:t>(&gt;75%)</w:t>
      </w:r>
      <w:r>
        <w:rPr>
          <w:b w:val="false"/>
          <w:bCs w:val="false"/>
        </w:rPr>
        <w:t xml:space="preserve">, for </w:t>
      </w:r>
      <w:r>
        <w:rPr>
          <w:b w:val="false"/>
          <w:bCs w:val="false"/>
          <w:i/>
          <w:iCs/>
        </w:rPr>
        <w:t xml:space="preserve">Sph. divinum, medium </w:t>
      </w:r>
      <w:r>
        <w:rPr>
          <w:b w:val="false"/>
          <w:bCs w:val="false"/>
        </w:rPr>
        <w:t xml:space="preserve">and </w:t>
      </w:r>
      <w:r>
        <w:rPr>
          <w:b w:val="false"/>
          <w:bCs w:val="false"/>
          <w:i/>
          <w:iCs/>
        </w:rPr>
        <w:t xml:space="preserve">diabolicum </w:t>
      </w:r>
      <w:r>
        <w:rPr>
          <w:b w:val="false"/>
          <w:bCs w:val="false"/>
        </w:rPr>
        <w:t>the role of climate decrease significantly (</w:t>
      </w:r>
      <w:r>
        <w:rPr>
          <w:b w:val="false"/>
          <w:bCs w:val="false"/>
        </w:rPr>
        <w:t>&lt;</w:t>
      </w:r>
      <w:r>
        <w:rPr>
          <w:b w:val="false"/>
          <w:bCs w:val="false"/>
        </w:rPr>
        <w:t xml:space="preserve">45, 30, and 10%, respectively). </w:t>
      </w:r>
      <w:r>
        <w:rPr>
          <w:b w:val="false"/>
          <w:bCs w:val="false"/>
        </w:rPr>
        <w:t xml:space="preserve">Habitat variables explain, in general, a small amount of variation (&lt;20%) for all species. Finally, random variables (Sample and Locality) combined explain the greatest proportion of variation. Although it changed considerable among species. For instance, </w:t>
      </w:r>
      <w:r>
        <w:rPr>
          <w:b w:val="false"/>
          <w:bCs w:val="false"/>
          <w:i/>
          <w:iCs/>
        </w:rPr>
        <w:t xml:space="preserve">Sph. diabolicum </w:t>
      </w:r>
      <w:r>
        <w:rPr>
          <w:b w:val="false"/>
          <w:bCs w:val="false"/>
        </w:rPr>
        <w:t xml:space="preserve">and </w:t>
      </w:r>
      <w:r>
        <w:rPr>
          <w:b w:val="false"/>
          <w:bCs w:val="false"/>
          <w:i/>
          <w:iCs/>
        </w:rPr>
        <w:t>medi</w:t>
      </w: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6120130"/>
            <wp:effectExtent l="0" t="0" r="0" b="0"/>
            <wp:wrapSquare wrapText="larges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8"/>
                    <a:stretch>
                      <a:fillRect/>
                    </a:stretch>
                  </pic:blipFill>
                  <pic:spPr bwMode="auto">
                    <a:xfrm>
                      <a:off x="0" y="0"/>
                      <a:ext cx="6120130" cy="6120130"/>
                    </a:xfrm>
                    <a:prstGeom prst="rect">
                      <a:avLst/>
                    </a:prstGeom>
                  </pic:spPr>
                </pic:pic>
              </a:graphicData>
            </a:graphic>
          </wp:anchor>
        </w:drawing>
      </w:r>
      <w:r>
        <w:rPr>
          <w:b w:val="false"/>
          <w:bCs w:val="false"/>
          <w:i/>
          <w:iCs/>
        </w:rPr>
        <w:t xml:space="preserve">um </w:t>
      </w:r>
      <w:r>
        <w:rPr>
          <w:b w:val="false"/>
          <w:bCs w:val="false"/>
        </w:rPr>
        <w:t xml:space="preserve">are mainly explianed by the random variables (&gt;50%), whereas </w:t>
      </w:r>
      <w:r>
        <w:rPr>
          <w:b w:val="false"/>
          <w:bCs w:val="false"/>
          <w:i/>
          <w:iCs/>
        </w:rPr>
        <w:t xml:space="preserve">Sph. magniae </w:t>
      </w:r>
      <w:r>
        <w:rPr>
          <w:b w:val="false"/>
          <w:bCs w:val="false"/>
        </w:rPr>
        <w:t>doesn’t varies due to the random effects.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importance of random variables suggest other unaccounted variables in the distribution of the species and its “community” assemblage. The nature of these unaccounted variables is hard to figure out. It could be some dispersal constrain, other environmental variable whether climatic or habitat variables (pH).</w:t>
      </w:r>
    </w:p>
    <w:p>
      <w:pPr>
        <w:pStyle w:val="Normal"/>
        <w:bidi w:val="0"/>
        <w:jc w:val="left"/>
        <w:rPr>
          <w:b/>
          <w:b/>
          <w:bCs/>
        </w:rPr>
      </w:pPr>
      <w:r>
        <w:rPr>
          <w:b/>
          <w:bCs/>
        </w:rPr>
      </w:r>
    </w:p>
    <w:p>
      <w:pPr>
        <w:pStyle w:val="Normal"/>
        <w:bidi w:val="0"/>
        <w:jc w:val="left"/>
        <w:rPr>
          <w:b/>
          <w:b/>
          <w:bCs/>
        </w:rPr>
      </w:pPr>
      <w:r>
        <w:rPr>
          <w:b/>
          <w:bCs/>
        </w:rPr>
      </w:r>
      <w:r>
        <w:br w:type="page"/>
      </w:r>
    </w:p>
    <w:p>
      <w:pPr>
        <w:pStyle w:val="Normal"/>
        <w:bidi w:val="0"/>
        <w:jc w:val="left"/>
        <w:rPr>
          <w:b/>
          <w:b/>
          <w:bCs/>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812030" cy="3562350"/>
            <wp:effectExtent l="0" t="0" r="0" b="0"/>
            <wp:wrapSquare wrapText="largest"/>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9"/>
                    <a:stretch>
                      <a:fillRect/>
                    </a:stretch>
                  </pic:blipFill>
                  <pic:spPr bwMode="auto">
                    <a:xfrm>
                      <a:off x="0" y="0"/>
                      <a:ext cx="4812030" cy="3562350"/>
                    </a:xfrm>
                    <a:prstGeom prst="rect">
                      <a:avLst/>
                    </a:prstGeom>
                  </pic:spPr>
                </pic:pic>
              </a:graphicData>
            </a:graphic>
          </wp:anchor>
        </w:drawing>
      </w:r>
      <w:r>
        <w:rPr>
          <w:b/>
          <w:bCs/>
        </w:rPr>
        <w:t>Species cooccurrences</w:t>
      </w:r>
    </w:p>
    <w:p>
      <w:pPr>
        <w:pStyle w:val="Normal"/>
        <w:bidi w:val="0"/>
        <w:jc w:val="left"/>
        <w:rPr>
          <w:b w:val="false"/>
          <w:b w:val="false"/>
          <w:bCs w:val="false"/>
        </w:rPr>
      </w:pPr>
      <w:r>
        <w:rPr>
          <w:b w:val="false"/>
          <w:bCs w:val="false"/>
        </w:rPr>
        <w:t xml:space="preserve">Cooccurrences residuals estimated by the HMSC model at the Locality level indicates that once the effect of climate and habitat has been removed, </w:t>
      </w:r>
      <w:r>
        <w:rPr>
          <w:b w:val="false"/>
          <w:bCs w:val="false"/>
          <w:i/>
          <w:iCs/>
        </w:rPr>
        <w:t xml:space="preserve">Sph. diabolicum </w:t>
      </w:r>
      <w:r>
        <w:rPr>
          <w:b w:val="false"/>
          <w:bCs w:val="false"/>
        </w:rPr>
        <w:t xml:space="preserve">co-occur less frequently than expected by random with </w:t>
      </w:r>
      <w:r>
        <w:rPr>
          <w:b w:val="false"/>
          <w:bCs w:val="false"/>
          <w:i/>
          <w:iCs/>
        </w:rPr>
        <w:t>Sph. divinum</w:t>
      </w:r>
      <w:r>
        <w:rPr>
          <w:b w:val="false"/>
          <w:bCs w:val="false"/>
        </w:rPr>
        <w:t xml:space="preserve">. </w:t>
      </w:r>
      <w:r>
        <w:rPr>
          <w:b w:val="false"/>
          <w:bCs w:val="false"/>
          <w:i/>
          <w:iCs/>
        </w:rPr>
        <w:t xml:space="preserve">Sph. medium </w:t>
      </w:r>
      <w:r>
        <w:rPr>
          <w:b w:val="false"/>
          <w:bCs w:val="false"/>
        </w:rPr>
        <w:t>seem</w:t>
      </w:r>
      <w:r>
        <w:rPr>
          <w:b w:val="false"/>
          <w:bCs w:val="false"/>
        </w:rPr>
        <w:t>s</w:t>
      </w:r>
      <w:r>
        <w:rPr>
          <w:b w:val="false"/>
          <w:bCs w:val="false"/>
        </w:rPr>
        <w:t xml:space="preserve"> to covary negatively with </w:t>
      </w:r>
      <w:r>
        <w:rPr>
          <w:b w:val="false"/>
          <w:bCs w:val="false"/>
          <w:i/>
          <w:iCs/>
        </w:rPr>
        <w:t>Sph. divinum</w:t>
      </w:r>
      <w:r>
        <w:rPr>
          <w:b w:val="false"/>
          <w:bCs w:val="false"/>
        </w:rPr>
        <w:t>.</w:t>
      </w:r>
    </w:p>
    <w:p>
      <w:pPr>
        <w:pStyle w:val="Normal"/>
        <w:bidi w:val="0"/>
        <w:jc w:val="left"/>
        <w:rPr>
          <w:b/>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770630" cy="3770630"/>
            <wp:effectExtent l="0" t="0" r="0" b="0"/>
            <wp:wrapSquare wrapText="largest"/>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10"/>
                    <a:stretch>
                      <a:fillRect/>
                    </a:stretch>
                  </pic:blipFill>
                  <pic:spPr bwMode="auto">
                    <a:xfrm>
                      <a:off x="0" y="0"/>
                      <a:ext cx="3770630" cy="3770630"/>
                    </a:xfrm>
                    <a:prstGeom prst="rect">
                      <a:avLst/>
                    </a:prstGeom>
                  </pic:spPr>
                </pic:pic>
              </a:graphicData>
            </a:graphic>
          </wp:anchor>
        </w:drawing>
      </w:r>
      <w:r>
        <w:br w:type="page"/>
      </w:r>
    </w:p>
    <w:p>
      <w:pPr>
        <w:pStyle w:val="Normal"/>
        <w:bidi w:val="0"/>
        <w:jc w:val="left"/>
        <w:rPr>
          <w:b/>
          <w:b/>
          <w:bCs/>
        </w:rPr>
      </w:pPr>
      <w:r>
        <w:rPr>
          <w:b/>
          <w:bCs/>
        </w:rPr>
        <w:t>Species response curves to environmental variables</w:t>
      </w:r>
    </w:p>
    <w:p>
      <w:pPr>
        <w:pStyle w:val="Normal"/>
        <w:bidi w:val="0"/>
        <w:jc w:val="left"/>
        <w:rPr>
          <w:b/>
          <w:b/>
          <w:bCs/>
        </w:rPr>
      </w:pPr>
      <w:r>
        <w:rPr>
          <w:b/>
          <w:bCs/>
        </w:rPr>
      </w:r>
    </w:p>
    <w:p>
      <w:pPr>
        <w:pStyle w:val="Normal"/>
        <w:bidi w:val="0"/>
        <w:jc w:val="left"/>
        <w:rPr>
          <w:b w:val="false"/>
          <w:b w:val="false"/>
          <w:bCs w:val="false"/>
        </w:rPr>
      </w:pPr>
      <w:r>
        <w:rPr>
          <w:b w:val="false"/>
          <w:bCs w:val="false"/>
        </w:rPr>
        <w:t>I think these figures are selfexplanatory, just show how the species respond to each environmental variables.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 main comment about these figures is the high confidence intervals, which are in light with the relative small role of climatic variables in explaining species occurrence and the small values of the beta parameters.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All together combined, I don’t think it make sense to project the models to future climatic conditions. I think the model somehow highlight some differences in the ecology of the species, whether climatically or at the habitat level but suggest that we are missing something else that might be important. It could also be that there are an important idiosyncratic variance at the sample and Locality level.</w:t>
      </w:r>
    </w:p>
    <w:p>
      <w:pPr>
        <w:pStyle w:val="Normal"/>
        <w:bidi w:val="0"/>
        <w:jc w:val="left"/>
        <w:rPr>
          <w:b w:val="false"/>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4207510"/>
            <wp:effectExtent l="0" t="0" r="0" b="0"/>
            <wp:wrapSquare wrapText="largest"/>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1"/>
                    <a:stretch>
                      <a:fillRect/>
                    </a:stretch>
                  </pic:blipFill>
                  <pic:spPr bwMode="auto">
                    <a:xfrm>
                      <a:off x="0" y="0"/>
                      <a:ext cx="6120130" cy="4207510"/>
                    </a:xfrm>
                    <a:prstGeom prst="rect">
                      <a:avLst/>
                    </a:prstGeom>
                  </pic:spPr>
                </pic:pic>
              </a:graphicData>
            </a:graphic>
          </wp:anchor>
        </w:drawing>
      </w:r>
      <w:r>
        <w:br w:type="page"/>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4207510"/>
            <wp:effectExtent l="0" t="0" r="0" b="0"/>
            <wp:wrapSquare wrapText="largest"/>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12"/>
                    <a:stretch>
                      <a:fillRect/>
                    </a:stretch>
                  </pic:blipFill>
                  <pic:spPr bwMode="auto">
                    <a:xfrm>
                      <a:off x="0" y="0"/>
                      <a:ext cx="6120130" cy="4207510"/>
                    </a:xfrm>
                    <a:prstGeom prst="rect">
                      <a:avLst/>
                    </a:prstGeom>
                  </pic:spPr>
                </pic:pic>
              </a:graphicData>
            </a:graphic>
          </wp:anchor>
        </w:drawing>
      </w:r>
    </w:p>
    <w:p>
      <w:pPr>
        <w:pStyle w:val="Normal"/>
        <w:bidi w:val="0"/>
        <w:jc w:val="left"/>
        <w:rPr>
          <w:b/>
          <w:b/>
          <w:bCs/>
        </w:rPr>
      </w:pPr>
      <w:r>
        <w:rPr>
          <w:b/>
          <w:bCs/>
        </w:rPr>
      </w:r>
      <w:r>
        <w:br w:type="page"/>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4207510"/>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3"/>
                    <a:stretch>
                      <a:fillRect/>
                    </a:stretch>
                  </pic:blipFill>
                  <pic:spPr bwMode="auto">
                    <a:xfrm>
                      <a:off x="0" y="0"/>
                      <a:ext cx="6120130" cy="4207510"/>
                    </a:xfrm>
                    <a:prstGeom prst="rect">
                      <a:avLst/>
                    </a:prstGeom>
                  </pic:spPr>
                </pic:pic>
              </a:graphicData>
            </a:graphic>
          </wp:anchor>
        </w:drawing>
      </w:r>
    </w:p>
    <w:p>
      <w:pPr>
        <w:pStyle w:val="Normal"/>
        <w:bidi w:val="0"/>
        <w:jc w:val="left"/>
        <w:rPr>
          <w:b/>
          <w:b/>
          <w:bCs/>
        </w:rPr>
      </w:pPr>
      <w:r>
        <w:rPr>
          <w:b/>
          <w:bCs/>
        </w:rPr>
      </w:r>
      <w:r>
        <w:br w:type="page"/>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4207510"/>
            <wp:effectExtent l="0" t="0" r="0" b="0"/>
            <wp:wrapSquare wrapText="largest"/>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4"/>
                    <a:stretch>
                      <a:fillRect/>
                    </a:stretch>
                  </pic:blipFill>
                  <pic:spPr bwMode="auto">
                    <a:xfrm>
                      <a:off x="0" y="0"/>
                      <a:ext cx="6120130" cy="4207510"/>
                    </a:xfrm>
                    <a:prstGeom prst="rect">
                      <a:avLst/>
                    </a:prstGeom>
                  </pic:spPr>
                </pic:pic>
              </a:graphicData>
            </a:graphic>
          </wp:anchor>
        </w:drawing>
      </w:r>
    </w:p>
    <w:p>
      <w:pPr>
        <w:pStyle w:val="Normal"/>
        <w:bidi w:val="0"/>
        <w:jc w:val="left"/>
        <w:rPr>
          <w:b/>
          <w:b/>
          <w:bCs/>
        </w:rPr>
      </w:pPr>
      <w:r>
        <w:rPr>
          <w:b/>
          <w:bCs/>
        </w:rPr>
      </w:r>
      <w:r>
        <w:br w:type="page"/>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4207510"/>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5"/>
                    <a:stretch>
                      <a:fillRect/>
                    </a:stretch>
                  </pic:blipFill>
                  <pic:spPr bwMode="auto">
                    <a:xfrm>
                      <a:off x="0" y="0"/>
                      <a:ext cx="6120130" cy="4207510"/>
                    </a:xfrm>
                    <a:prstGeom prst="rect">
                      <a:avLst/>
                    </a:prstGeom>
                  </pic:spPr>
                </pic:pic>
              </a:graphicData>
            </a:graphic>
          </wp:anchor>
        </w:drawing>
      </w:r>
    </w:p>
    <w:p>
      <w:pPr>
        <w:pStyle w:val="Normal"/>
        <w:bidi w:val="0"/>
        <w:jc w:val="left"/>
        <w:rPr>
          <w:b/>
          <w:b/>
          <w:bCs/>
        </w:rPr>
      </w:pPr>
      <w:r>
        <w:rPr>
          <w:b/>
          <w:bCs/>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Ubuntu Mono">
    <w:altName w:val="monospace"/>
    <w:charset w:val="01"/>
    <w:family w:val="auto"/>
    <w:pitch w:val="default"/>
  </w:font>
</w:fonts>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Figure">
    <w:name w:val="Figure"/>
    <w:basedOn w:val="Leyenda"/>
    <w:qFormat/>
    <w:pPr/>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helsinki.fi/en/researchgroups/statistical-ecology/software/hmsc" TargetMode="Externa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10</Pages>
  <Words>1064</Words>
  <Characters>5936</Characters>
  <CharactersWithSpaces>6942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2023-04-03T16:35:31Z</dcterms:created>
  <dc:creator/>
  <dc:description/>
  <dc:language>es-ES</dc:language>
  <cp:lastModifiedBy/>
  <dcterms:modified xsi:type="dcterms:W3CDTF">2023-08-31T10:42:00Z</dcterms:modified>
  <cp:revision>3</cp:revision>
  <dc:subject/>
  <dc:title/>
</cp:coreProperties>
</file>